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技術規格書：DOCX 轉 MD 插件極限測試範例</w:t>
      </w:r>
    </w:p>
    <w:p>
      <w:pPr>
        <w:pStyle w:val="Subtitle"/>
      </w:pPr>
      <w:r>
        <w:t>版本：2.0.0 (極限測試版)</w:t>
      </w:r>
    </w:p>
    <w:p>
      <w:pPr>
        <w:pStyle w:val="Subtitle"/>
      </w:pPr>
      <w:r>
        <w:t>日期：2026年1月30日</w:t>
      </w:r>
    </w:p>
    <w:p>
      <w:r>
        <w:br w:type="page"/>
      </w:r>
    </w:p>
    <w:p>
      <w:pPr>
        <w:pStyle w:val="Heading1"/>
      </w:pPr>
      <w:r>
        <w:t>目錄</w:t>
      </w:r>
    </w:p>
    <w:p>
      <w:pPr>
        <w:pStyle w:val="ListBullet"/>
      </w:pPr>
      <w:r>
        <w:t>1. 簡介</w:t>
      </w:r>
    </w:p>
    <w:p>
      <w:pPr>
        <w:pStyle w:val="ListBullet"/>
      </w:pPr>
      <w:r>
        <w:t>2. 系統架構與流程</w:t>
      </w:r>
    </w:p>
    <w:p>
      <w:pPr>
        <w:pStyle w:val="ListBullet"/>
      </w:pPr>
      <w:r>
        <w:t>3. 資料結構定義</w:t>
      </w:r>
    </w:p>
    <w:p>
      <w:pPr>
        <w:pStyle w:val="ListBullet"/>
      </w:pPr>
      <w:r>
        <w:t>4. 複雜表格測試</w:t>
      </w:r>
    </w:p>
    <w:p>
      <w:pPr>
        <w:pStyle w:val="ListBullet"/>
      </w:pPr>
      <w:r>
        <w:t>5. 圖文混合表格 (UI 截圖)</w:t>
      </w:r>
    </w:p>
    <w:p>
      <w:pPr>
        <w:pStyle w:val="ListBullet"/>
      </w:pPr>
      <w:r>
        <w:t>6. 極限文本格式與嵌套列表</w:t>
      </w:r>
    </w:p>
    <w:p>
      <w:r>
        <w:br w:type="page"/>
      </w:r>
    </w:p>
    <w:p>
      <w:pPr>
        <w:pStyle w:val="Heading1"/>
      </w:pPr>
      <w:r>
        <w:t>1. 簡介</w:t>
      </w:r>
    </w:p>
    <w:p>
      <w:r>
        <w:t>本文件旨在提供一個**極度複雜**的 Microsoft Word 文件範例，用於測試 DOCX 轉 Markdown 插件的轉換能力。文件內包含多種常見於技術規格書中的複雜元素，特別是**多層次標題**、**複雜表格**、**內嵌圖片**及**多樣化文本格式**。</w:t>
      </w:r>
    </w:p>
    <w:p>
      <w:pPr>
        <w:pStyle w:val="Heading1"/>
      </w:pPr>
      <w:r>
        <w:t>2. 系統架構與流程</w:t>
      </w:r>
    </w:p>
    <w:p>
      <w:r>
        <w:t>本節包含系統的整體架構圖和核心業務流程圖，以測試圖片的正確提取與 Markdown 圖片語法的生成。</w:t>
      </w:r>
    </w:p>
    <w:p>
      <w:pPr>
        <w:pStyle w:val="Heading2"/>
      </w:pPr>
      <w:r>
        <w:t>2.1. 系統架構圖</w:t>
      </w:r>
    </w:p>
    <w:p>
      <w:r>
        <w:drawing>
          <wp:inline xmlns:a="http://schemas.openxmlformats.org/drawingml/2006/main" xmlns:pic="http://schemas.openxmlformats.org/drawingml/2006/picture">
            <wp:extent cx="5486400" cy="3455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2-1：系統整體架構圖</w:t>
      </w:r>
    </w:p>
    <w:p>
      <w:pPr>
        <w:pStyle w:val="Heading2"/>
      </w:pPr>
      <w:r>
        <w:t>2.2. 核心業務流程</w:t>
      </w:r>
    </w:p>
    <w:p>
      <w:r>
        <w:drawing>
          <wp:inline xmlns:a="http://schemas.openxmlformats.org/drawingml/2006/main" xmlns:pic="http://schemas.openxmlformats.org/drawingml/2006/picture">
            <wp:extent cx="3657600" cy="4303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03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2-2：核心業務流程圖</w:t>
      </w:r>
    </w:p>
    <w:p>
      <w:pPr>
        <w:pStyle w:val="Heading1"/>
      </w:pPr>
      <w:r>
        <w:t>3. 資料結構定義</w:t>
      </w:r>
    </w:p>
    <w:p>
      <w:r>
        <w:t>以下是系統中關鍵資料庫表格的結構定義，以測試圖片與表格的混合內容。</w:t>
      </w:r>
    </w:p>
    <w:p>
      <w:r>
        <w:drawing>
          <wp:inline xmlns:a="http://schemas.openxmlformats.org/drawingml/2006/main" xmlns:pic="http://schemas.openxmlformats.org/drawingml/2006/picture">
            <wp:extent cx="4572000" cy="24103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0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3-1：資料庫實體關係圖 (ERD)</w:t>
      </w:r>
    </w:p>
    <w:p>
      <w:pPr>
        <w:pStyle w:val="Heading1"/>
      </w:pPr>
      <w:r>
        <w:t>4. 複雜表格測試</w:t>
      </w:r>
    </w:p>
    <w:p>
      <w:r>
        <w:t>本節包含多種表格類型，用於測試轉換器對表格結構的處理能力。</w:t>
      </w:r>
    </w:p>
    <w:p>
      <w:pPr>
        <w:pStyle w:val="Heading2"/>
      </w:pPr>
      <w:r>
        <w:t>4.1. 多層次表頭與欄寬測試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456"/>
            <w:gridSpan w:val="2"/>
          </w:tcPr>
          <w:p>
            <w:r>
              <w:t>基本資訊</w:t>
            </w:r>
          </w:p>
        </w:tc>
        <w:tc>
          <w:tcPr>
            <w:tcW w:type="dxa" w:w="5184"/>
            <w:gridSpan w:val="3"/>
          </w:tcPr>
          <w:p>
            <w:r>
              <w:t>性能指標 (KPI)</w:t>
            </w:r>
          </w:p>
        </w:tc>
      </w:tr>
      <w:tr>
        <w:tc>
          <w:tcPr>
            <w:tcW w:type="dxa" w:w="1728"/>
          </w:tcPr>
          <w:p>
            <w:r>
              <w:t>模組</w:t>
            </w:r>
          </w:p>
        </w:tc>
        <w:tc>
          <w:tcPr>
            <w:tcW w:type="dxa" w:w="1728"/>
          </w:tcPr>
          <w:p>
            <w:r>
              <w:t>負責人</w:t>
            </w:r>
          </w:p>
        </w:tc>
        <w:tc>
          <w:tcPr>
            <w:tcW w:type="dxa" w:w="1728"/>
          </w:tcPr>
          <w:p>
            <w:r>
              <w:t>平均響應時間 (ms)</w:t>
            </w:r>
          </w:p>
        </w:tc>
        <w:tc>
          <w:tcPr>
            <w:tcW w:type="dxa" w:w="1728"/>
          </w:tcPr>
          <w:p>
            <w:r>
              <w:t>成功率 (%)</w:t>
            </w:r>
          </w:p>
        </w:tc>
        <w:tc>
          <w:tcPr>
            <w:tcW w:type="dxa" w:w="1728"/>
          </w:tcPr>
          <w:p>
            <w:r>
              <w:t>備註</w:t>
            </w:r>
          </w:p>
        </w:tc>
      </w:tr>
      <w:tr>
        <w:tc>
          <w:tcPr>
            <w:tcW w:type="dxa" w:w="1728"/>
          </w:tcPr>
          <w:p>
            <w:r>
              <w:t>用戶認證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99.9</w:t>
            </w:r>
          </w:p>
        </w:tc>
        <w:tc>
          <w:tcPr>
            <w:tcW w:type="dxa" w:w="1728"/>
          </w:tcPr>
          <w:p>
            <w:r>
              <w:t>高優先級</w:t>
            </w:r>
          </w:p>
        </w:tc>
      </w:tr>
      <w:tr>
        <w:tc>
          <w:tcPr>
            <w:tcW w:type="dxa" w:w="1728"/>
          </w:tcPr>
          <w:p>
            <w:r>
              <w:t>數據查詢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98.5</w:t>
            </w:r>
          </w:p>
        </w:tc>
        <w:tc>
          <w:tcPr>
            <w:tcW w:type="dxa" w:w="1728"/>
          </w:tcPr>
          <w:p>
            <w:r>
              <w:t>中優先級</w:t>
            </w:r>
          </w:p>
        </w:tc>
      </w:tr>
    </w:tbl>
    <w:p>
      <w:pPr>
        <w:pStyle w:val="Heading2"/>
      </w:pPr>
      <w:r>
        <w:t>4.2. 帶有合併儲存格的表格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模組功能與狀態總覽</w:t>
            </w:r>
          </w:p>
        </w:tc>
      </w:tr>
      <w:tr>
        <w:tc>
          <w:tcPr>
            <w:tcW w:type="dxa" w:w="2160"/>
          </w:tcPr>
          <w:p>
            <w:r>
              <w:t>模組名稱</w:t>
            </w:r>
          </w:p>
        </w:tc>
        <w:tc>
          <w:tcPr>
            <w:tcW w:type="dxa" w:w="4320"/>
            <w:gridSpan w:val="2"/>
          </w:tcPr>
          <w:p>
            <w:r>
              <w:t>狀態</w:t>
            </w:r>
          </w:p>
        </w:tc>
        <w:tc>
          <w:tcPr>
            <w:tcW w:type="dxa" w:w="2160"/>
          </w:tcPr>
          <w:p>
            <w:r>
              <w:t>備註</w:t>
            </w:r>
          </w:p>
        </w:tc>
      </w:tr>
      <w:tr>
        <w:tc>
          <w:tcPr>
            <w:tcW w:type="dxa" w:w="2160"/>
          </w:tcPr>
          <w:p>
            <w:r>
              <w:t>用戶管理</w:t>
            </w:r>
          </w:p>
        </w:tc>
        <w:tc>
          <w:tcPr>
            <w:tcW w:type="dxa" w:w="2160"/>
          </w:tcPr>
          <w:p>
            <w:r>
              <w:t>已完成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V1.0 核心功能</w:t>
            </w:r>
          </w:p>
        </w:tc>
      </w:tr>
      <w:tr>
        <w:tc>
          <w:tcPr>
            <w:tcW w:type="dxa" w:w="4320"/>
            <w:gridSpan w:val="2"/>
          </w:tcPr>
          <w:p>
            <w:r>
              <w:t>資料分析模組</w:t>
            </w:r>
          </w:p>
        </w:tc>
        <w:tc>
          <w:tcPr>
            <w:tcW w:type="dxa" w:w="2160"/>
          </w:tcPr>
          <w:p>
            <w:r>
              <w:t>開發中</w:t>
            </w:r>
          </w:p>
        </w:tc>
        <w:tc>
          <w:tcPr>
            <w:tcW w:type="dxa" w:w="2160"/>
          </w:tcPr>
          <w:p>
            <w:r>
              <w:t>預計 V1.1 上線</w:t>
            </w:r>
          </w:p>
        </w:tc>
      </w:tr>
    </w:tbl>
    <w:p>
      <w:pPr>
        <w:pStyle w:val="Heading1"/>
      </w:pPr>
      <w:r>
        <w:t>5. 圖文混合表格 (UI 截圖)</w:t>
      </w:r>
    </w:p>
    <w:p>
      <w:r>
        <w:t>本節測試表格內嵌入圖片、複雜列表與顏色文本的轉換。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11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i_screenshot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/>
          <w:p>
            <w:r>
              <w:t>點選「基金」-&gt;「申購」時，執行下述作業：</w:t>
            </w:r>
          </w:p>
          <w:p>
            <w:pPr>
              <w:pStyle w:val="ListNumber"/>
            </w:pPr>
            <w:r>
              <w:t>1. 呼叫「INVPT_客戶基本資料」元件。</w:t>
            </w:r>
          </w:p>
          <w:p>
            <w:pPr>
              <w:pStyle w:val="ListBullet2"/>
            </w:pPr>
            <w:r>
              <w:t>元件內有呼叫的 API:</w:t>
            </w:r>
          </w:p>
          <w:p>
            <w:pPr>
              <w:pStyle w:val="ListNumber2"/>
            </w:pPr>
            <w:r>
              <w:rPr>
                <w:color w:val="FF0000"/>
              </w:rPr>
              <w:t>A. API_1 : apiGetCifDataBns(以客戶 ID 查詢 BANCS 客戶基本資料)</w:t>
            </w:r>
          </w:p>
          <w:p>
            <w:pPr>
              <w:pStyle w:val="ListNumber2"/>
            </w:pPr>
            <w:r>
              <w:rPr>
                <w:color w:val="FF0000"/>
              </w:rPr>
              <w:t>B. API_2 : apiGetCifDataWms(以客戶 ID 查詢 WMS 客戶基本資料)</w:t>
            </w:r>
          </w:p>
          <w:p>
            <w:pPr>
              <w:pStyle w:val="ListNumber2"/>
            </w:pPr>
            <w:r>
              <w:rPr>
                <w:color w:val="FF0000"/>
              </w:rPr>
              <w:t>C. API_3 : apiGetFpin(以客戶 ID 查詢客戶理財密碼狀態)</w:t>
            </w:r>
          </w:p>
        </w:tc>
      </w:tr>
    </w:tbl>
    <w:p>
      <w:pPr>
        <w:pStyle w:val="Caption"/>
      </w:pPr>
      <w:r>
        <w:t>圖 5-1：交易相關檢核 UI 截圖</w:t>
      </w:r>
    </w:p>
    <w:p>
      <w:pPr>
        <w:pStyle w:val="Heading1"/>
      </w:pPr>
      <w:r>
        <w:t>6. 極限文本格式與嵌套列表</w:t>
      </w:r>
    </w:p>
    <w:p>
      <w:r>
        <w:t>本節測試各種難以轉換的文本格式與深層次列表。</w:t>
      </w:r>
    </w:p>
    <w:p>
      <w:pPr>
        <w:pStyle w:val="Heading2"/>
      </w:pPr>
      <w:r>
        <w:t>6.1. 特殊文本格式</w:t>
      </w:r>
    </w:p>
    <w:p>
      <w:r>
        <w:rPr>
          <w:vertAlign w:val="subscript"/>
        </w:rPr>
        <w:t>化學式 H</w:t>
      </w:r>
      <w:r>
        <w:rPr>
          <w:vertAlign w:val="subscript"/>
        </w:rPr>
        <w:t>2</w:t>
      </w:r>
      <w:r>
        <w:t>O。</w:t>
      </w:r>
      <w:r>
        <w:rPr>
          <w:vertAlign w:val="superscript"/>
        </w:rPr>
        <w:t>數學表達式 E=mc</w:t>
      </w:r>
      <w:r>
        <w:rPr>
          <w:vertAlign w:val="superscript"/>
        </w:rPr>
        <w:t>2</w:t>
      </w:r>
      <w:r>
        <w:t>。</w:t>
      </w:r>
      <w:r>
        <w:rPr>
          <w:color w:val="0000FF"/>
        </w:rPr>
        <w:t>這段文字是</w:t>
      </w:r>
      <w:r>
        <w:rPr>
          <w:highlight w:val="yellow"/>
        </w:rPr>
        <w:t>高亮顯示的</w:t>
      </w:r>
      <w:r>
        <w:t>關鍵詞。</w:t>
      </w:r>
    </w:p>
    <w:p>
      <w:r>
        <w:t>請參考：</w:t>
      </w:r>
      <w:hyperlink r:id="rId13">
        <w:r>
          <w:rPr>
            <w:color w:val="0000FF"/>
          </w:rPr>
          <w:t>Manus 官方網站</w:t>
        </w:r>
      </w:hyperlink>
      <w:r>
        <w:t xml:space="preserve"> (外部連結)</w:t>
      </w:r>
    </w:p>
    <w:p>
      <w:pPr>
        <w:pStyle w:val="Heading2"/>
      </w:pPr>
      <w:r>
        <w:t>6.2. 三層嵌套列表</w:t>
      </w:r>
    </w:p>
    <w:p>
      <w:pPr>
        <w:pStyle w:val="ListNumber"/>
      </w:pPr>
      <w:r>
        <w:t>第一層項目</w:t>
      </w:r>
    </w:p>
    <w:p>
      <w:pPr>
        <w:pStyle w:val="ListNumber2"/>
      </w:pPr>
      <w:r>
        <w:t>第二層項目 A</w:t>
      </w:r>
    </w:p>
    <w:p>
      <w:pPr>
        <w:pStyle w:val="ListNumber3"/>
      </w:pPr>
      <w:r>
        <w:t>第三層項目 i</w:t>
      </w:r>
    </w:p>
    <w:p>
      <w:pPr>
        <w:pStyle w:val="ListNumber3"/>
      </w:pPr>
      <w:r>
        <w:t>第三層項目 ii</w:t>
      </w:r>
    </w:p>
    <w:p>
      <w:pPr>
        <w:pStyle w:val="ListNumber2"/>
      </w:pPr>
      <w:r>
        <w:t>第二層項目 B</w:t>
      </w:r>
    </w:p>
    <w:p>
      <w:pPr>
        <w:pStyle w:val="ListNumber"/>
      </w:pPr>
      <w:r>
        <w:t>第一層項目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hyperlink" Target="https://www.manus.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