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技術規格書：DOCX 轉 MD 插件 V3.1 終極全場景測試範例</w:t>
      </w:r>
    </w:p>
    <w:p>
      <w:pPr>
        <w:pStyle w:val="Subtitle"/>
      </w:pPr>
      <w:r>
        <w:t>版本：3.1.0 (終極全場景測試版)</w:t>
      </w:r>
    </w:p>
    <w:p>
      <w:pPr>
        <w:pStyle w:val="Subtitle"/>
      </w:pPr>
      <w:r>
        <w:t>日期：2026年1月30日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t>1. 簡介</w:t>
      </w:r>
    </w:p>
    <w:p>
      <w:pPr>
        <w:pStyle w:val="ListBullet"/>
      </w:pPr>
      <w:r>
        <w:t>2. 系統架構與流程</w:t>
      </w:r>
    </w:p>
    <w:p>
      <w:pPr>
        <w:pStyle w:val="ListBullet"/>
      </w:pPr>
      <w:r>
        <w:t>3. 極複雜合併表格測試</w:t>
      </w:r>
    </w:p>
    <w:p>
      <w:pPr>
        <w:pStyle w:val="ListBullet"/>
      </w:pPr>
      <w:r>
        <w:t>4. 巢狀表格測試 (魔王級)</w:t>
      </w:r>
    </w:p>
    <w:p>
      <w:pPr>
        <w:pStyle w:val="ListBullet"/>
      </w:pPr>
      <w:r>
        <w:t>5. 圖文混合表格與嵌套列表</w:t>
      </w:r>
    </w:p>
    <w:p>
      <w:pPr>
        <w:pStyle w:val="ListBullet"/>
      </w:pPr>
      <w:r>
        <w:t>6. 純淨樣式與特殊格式測試</w:t>
      </w:r>
    </w:p>
    <w:p>
      <w:r>
        <w:br w:type="page"/>
      </w:r>
    </w:p>
    <w:p>
      <w:pPr>
        <w:pStyle w:val="Heading1"/>
      </w:pPr>
      <w:r>
        <w:t>1. 簡介</w:t>
      </w:r>
    </w:p>
    <w:p>
      <w:r>
        <w:t>本文件旨在提供一個</w:t>
      </w:r>
      <w:r>
        <w:rPr>
          <w:b/>
        </w:rPr>
        <w:t>極度複雜</w:t>
      </w:r>
      <w:r>
        <w:t>的 Microsoft Word 文件範例，所有格式均使用</w:t>
      </w:r>
      <w:r>
        <w:rPr>
          <w:i/>
        </w:rPr>
        <w:t>純淨的 Word 屬性</w:t>
      </w:r>
      <w:r>
        <w:t>設定，以測試轉換器對</w:t>
      </w:r>
      <w:r>
        <w:rPr>
          <w:b/>
        </w:rPr>
        <w:t>所有樣式</w:t>
      </w:r>
      <w:r>
        <w:t>的精確解析能力。</w:t>
      </w:r>
    </w:p>
    <w:p>
      <w:pPr>
        <w:pStyle w:val="Heading1"/>
      </w:pPr>
      <w:r>
        <w:t>2. 系統架構與流程</w:t>
      </w:r>
    </w:p>
    <w:p>
      <w:r>
        <w:t>本節包含系統的整體架構圖和核心業務流程圖。</w:t>
      </w:r>
    </w:p>
    <w:p>
      <w:pPr>
        <w:pStyle w:val="Heading2"/>
      </w:pPr>
      <w:r>
        <w:t>2.1. 系統架構圖</w:t>
      </w:r>
    </w:p>
    <w:p>
      <w:r>
        <w:drawing>
          <wp:inline xmlns:a="http://schemas.openxmlformats.org/drawingml/2006/main" xmlns:pic="http://schemas.openxmlformats.org/drawingml/2006/picture">
            <wp:extent cx="5486400" cy="3455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2-1：系統整體架構圖</w:t>
      </w:r>
    </w:p>
    <w:p>
      <w:pPr>
        <w:pStyle w:val="Heading2"/>
      </w:pPr>
      <w:r>
        <w:t>2.2. 核心業務流程</w:t>
      </w:r>
    </w:p>
    <w:p>
      <w:r>
        <w:drawing>
          <wp:inline xmlns:a="http://schemas.openxmlformats.org/drawingml/2006/main" xmlns:pic="http://schemas.openxmlformats.org/drawingml/2006/picture">
            <wp:extent cx="3657600" cy="430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2-2：核心業務流程圖</w:t>
      </w:r>
    </w:p>
    <w:p>
      <w:pPr>
        <w:pStyle w:val="Heading1"/>
      </w:pPr>
      <w:r>
        <w:t>3. 極複雜合併表格測試</w:t>
      </w:r>
    </w:p>
    <w:p>
      <w:r>
        <w:t>本表格包含跨行 (Rowspan) 與跨欄 (Colspan) 的合併，這是對轉換器最大的挑戰。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類別</w:t>
            </w:r>
          </w:p>
        </w:tc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4320"/>
            <w:gridSpan w:val="2"/>
          </w:tcPr>
          <w:p>
            <w:r>
              <w:t>狀態與備註</w:t>
            </w:r>
          </w:p>
        </w:tc>
      </w:tr>
      <w:tr>
        <w:tc>
          <w:tcPr>
            <w:tcW w:type="dxa" w:w="2160"/>
            <w:vMerge w:val="restart"/>
          </w:tcPr>
          <w:p>
            <w:r>
              <w:t>前端模組</w:t>
            </w:r>
          </w:p>
        </w:tc>
        <w:tc>
          <w:tcPr>
            <w:tcW w:type="dxa" w:w="2160"/>
          </w:tcPr>
          <w:p>
            <w:r>
              <w:t>登入驗證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>
            <w:r>
              <w:t>無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儀表板</w:t>
            </w:r>
          </w:p>
        </w:tc>
        <w:tc>
          <w:tcPr>
            <w:tcW w:type="dxa" w:w="2160"/>
          </w:tcPr>
          <w:p>
            <w:r>
              <w:t>開發中</w:t>
            </w:r>
          </w:p>
        </w:tc>
        <w:tc>
          <w:tcPr>
            <w:tcW w:type="dxa" w:w="2160"/>
          </w:tcPr>
          <w:p>
            <w:r>
              <w:t>V3 需求</w:t>
            </w:r>
          </w:p>
        </w:tc>
      </w:tr>
      <w:tr>
        <w:tc>
          <w:tcPr>
            <w:tcW w:type="dxa" w:w="2160"/>
          </w:tcPr>
          <w:p>
            <w:r>
              <w:t>後端模組</w:t>
            </w:r>
          </w:p>
        </w:tc>
        <w:tc>
          <w:tcPr>
            <w:tcW w:type="dxa" w:w="2160"/>
          </w:tcPr>
          <w:p>
            <w:r>
              <w:t>API 接口</w:t>
            </w:r>
          </w:p>
        </w:tc>
        <w:tc>
          <w:tcPr>
            <w:tcW w:type="dxa" w:w="4320"/>
            <w:gridSpan w:val="2"/>
          </w:tcPr>
          <w:p>
            <w:r>
              <w:t>已完成 (穩定)</w:t>
            </w:r>
          </w:p>
        </w:tc>
      </w:tr>
    </w:tbl>
    <w:p>
      <w:pPr>
        <w:pStyle w:val="Heading1"/>
      </w:pPr>
      <w:r>
        <w:t>4. 巢狀表格測試 (魔王級)</w:t>
      </w:r>
    </w:p>
    <w:p>
      <w:r>
        <w:t>本節測試表格內嵌入表格的極限情況，這在轉換為 Markdown 時幾乎必須轉為 HTML。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外部參數</w:t>
            </w:r>
          </w:p>
        </w:tc>
        <w:tc>
          <w:tcPr>
            <w:tcW w:type="dxa" w:w="4320"/>
          </w:tcPr>
          <w:p>
            <w:r>
              <w:t>詳細配置</w:t>
            </w:r>
          </w:p>
        </w:tc>
      </w:tr>
      <w:tr>
        <w:tc>
          <w:tcPr>
            <w:tcW w:type="dxa" w:w="4320"/>
          </w:tcPr>
          <w:p>
            <w:r>
              <w:t>配置列表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Key</w:t>
                  </w:r>
                </w:p>
              </w:tc>
              <w:tc>
                <w:tcPr>
                  <w:tcW w:type="dxa" w:w="2160"/>
                </w:tcPr>
                <w:p>
                  <w:r>
                    <w:t>Value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Timeout</w:t>
                  </w:r>
                </w:p>
              </w:tc>
              <w:tc>
                <w:tcPr>
                  <w:tcW w:type="dxa" w:w="2160"/>
                </w:tcPr>
                <w:p>
                  <w:r>
                    <w:t>3000ms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Retry</w:t>
                  </w:r>
                </w:p>
              </w:tc>
              <w:tc>
                <w:tcPr>
                  <w:tcW w:type="dxa" w:w="2160"/>
                </w:tcPr>
                <w:p>
                  <w:r>
                    <w:t>3次</w:t>
                  </w:r>
                </w:p>
              </w:tc>
            </w:tr>
          </w:tbl>
          <w:p/>
        </w:tc>
      </w:tr>
    </w:tbl>
    <w:p>
      <w:pPr>
        <w:pStyle w:val="Heading1"/>
      </w:pPr>
      <w:r>
        <w:t>5. 圖文混合表格與嵌套列表</w:t>
      </w:r>
    </w:p>
    <w:p>
      <w:r>
        <w:t>測試表格內嵌入圖片、複雜列表與顏色文本的轉換。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114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screensho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0"/>
          </w:tcPr>
          <w:p/>
          <w:p>
            <w:r>
              <w:t>點選「基金」-&gt;「申購」時，執行下述作業：</w:t>
            </w:r>
          </w:p>
        </w:tc>
      </w:tr>
    </w:tbl>
    <w:p>
      <w:pPr>
        <w:pStyle w:val="Caption"/>
      </w:pPr>
      <w:r>
        <w:t>圖 5-1：交易相關檢核 UI 截圖</w:t>
      </w:r>
    </w:p>
    <w:p>
      <w:pPr>
        <w:pStyle w:val="ListNumber"/>
      </w:pPr>
      <w:r>
        <w:t>1. 呼叫「INVPT_客戶基本資料」元件。</w:t>
      </w:r>
    </w:p>
    <w:p>
      <w:pPr>
        <w:pStyle w:val="ListBullet2"/>
      </w:pPr>
      <w:r>
        <w:t>元件內有呼叫的 API:</w:t>
      </w:r>
    </w:p>
    <w:p>
      <w:pPr>
        <w:pStyle w:val="ListNumber2"/>
      </w:pPr>
      <w:r>
        <w:rPr>
          <w:color w:val="FF0000"/>
        </w:rPr>
        <w:t>A. API_1 : apiGetCifDataBns(以客戶 ID 查詢 BANCS 客戶基本資料)</w:t>
      </w:r>
    </w:p>
    <w:p>
      <w:pPr>
        <w:pStyle w:val="ListNumber2"/>
      </w:pPr>
      <w:r>
        <w:rPr>
          <w:color w:val="FF0000"/>
        </w:rPr>
        <w:t>B. API_2 : apiGetCifDataWms(以客戶 ID 查詢 WMS 客戶基本資料)</w:t>
      </w:r>
    </w:p>
    <w:p>
      <w:pPr>
        <w:pStyle w:val="ListNumber2"/>
      </w:pPr>
      <w:r>
        <w:rPr>
          <w:color w:val="FF0000"/>
        </w:rPr>
        <w:t>C. API_3 : apiGetFpin(以客戶 ID 查詢客戶理財密碼狀態)</w:t>
      </w:r>
    </w:p>
    <w:p>
      <w:pPr>
        <w:pStyle w:val="Heading1"/>
      </w:pPr>
      <w:r>
        <w:t>6. 純淨樣式與特殊格式測試</w:t>
      </w:r>
    </w:p>
    <w:p>
      <w:r>
        <w:t>本節測試各種純淨的 Word 樣式屬性。</w:t>
      </w:r>
    </w:p>
    <w:p>
      <w:pPr>
        <w:pStyle w:val="Heading2"/>
      </w:pPr>
      <w:r>
        <w:t>6.1. 粗體、斜體、上下標</w:t>
      </w:r>
    </w:p>
    <w:p>
      <w:r>
        <w:rPr>
          <w:b/>
        </w:rPr>
        <w:t>這是一段真正的粗體文字。</w:t>
      </w:r>
      <w:r>
        <w:rPr>
          <w:i/>
        </w:rPr>
        <w:t>這是一段真正的斜體文字。</w:t>
      </w:r>
      <w:r>
        <w:rPr>
          <w:b/>
          <w:i/>
        </w:rPr>
        <w:t>這是一段真正的粗斜體文字。</w:t>
      </w:r>
      <w:r>
        <w:t>化學式 H</w:t>
      </w:r>
      <w:r>
        <w:t>2</w:t>
      </w:r>
      <w:r>
        <w:t>O。</w:t>
      </w:r>
      <w:r>
        <w:t>數學表達式 E=mc</w:t>
      </w:r>
      <w:r>
        <w:t>2</w:t>
      </w:r>
      <w:r>
        <w:t>。</w:t>
      </w:r>
    </w:p>
    <w:p>
      <w:pPr>
        <w:pStyle w:val="Heading2"/>
      </w:pPr>
      <w:r>
        <w:t>6.2. 顏色與高亮</w:t>
      </w:r>
    </w:p>
    <w:p>
      <w:r>
        <w:rPr>
          <w:color w:val="0000FF"/>
        </w:rPr>
        <w:t>這段文字是藍色的。</w:t>
      </w:r>
      <w:r>
        <w:rPr>
          <w:highlight w:val="yellow"/>
        </w:rPr>
        <w:t>這段文字是黃色高亮顯示的關鍵詞。</w:t>
      </w:r>
    </w:p>
    <w:p>
      <w:pPr>
        <w:pStyle w:val="Heading2"/>
      </w:pPr>
      <w:r>
        <w:t>6.3. 超連結</w:t>
      </w:r>
    </w:p>
    <w:p>
      <w:r>
        <w:t>請參考：</w:t>
      </w:r>
      <w:hyperlink r:id="rId12">
        <w:r>
          <w:rPr>
            <w:color w:val="0000FF"/>
            <w:u w:val="single"/>
          </w:rPr>
          <w:t>Manus V3.1 終極測試連結</w:t>
        </w:r>
      </w:hyperlink>
      <w:r>
        <w:t xml:space="preserve"> (外部連結)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hyperlink" Target="https://www.manus.im/v3-1-ultimate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