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Pricing Derivatives Using Black-Scholes-Merton Model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2023-11-12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4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In this blog, we will explore how to price simple equity derivatives using the Black-Scholes-Merton (BSM) model. We will derive the mathematical formula and then provide Python code to implement it.</w:t>
      </w:r>
    </w:p>
    <w:bookmarkStart w:id="23" w:name="background-and-preliminaries"/>
    <w:p>
      <w:pPr>
        <w:pStyle w:val="Heading3"/>
      </w:pPr>
      <w:r>
        <w:t xml:space="preserve">Background and Preliminaries</w:t>
      </w:r>
    </w:p>
    <w:p>
      <w:pPr>
        <w:pStyle w:val="FirstParagraph"/>
      </w:pPr>
      <w:r>
        <w:t xml:space="preserve">Before proceeding to the deep of the discussion, we need to know some definition and terminology</w:t>
      </w:r>
    </w:p>
    <w:p>
      <w:pPr>
        <w:pStyle w:val="BodyText"/>
      </w:pPr>
      <w:r>
        <w:rPr>
          <w:b/>
          <w:bCs/>
        </w:rPr>
        <w:t xml:space="preserve">Brownian Motion:</w:t>
      </w:r>
      <w:r>
        <w:t xml:space="preserve"> </w:t>
      </w:r>
      <w:r>
        <w:t xml:space="preserve">Brownian motion is a concept with definitions and applications across various disciplines, named after the botanist Robert Brown, is the random, erratic movement of particles suspended in a fluid (liquid or gas) due to their collisions with the fast-moving molecules of the fluid.</w:t>
      </w:r>
    </w:p>
    <w:p>
      <w:pPr>
        <w:pStyle w:val="BodyText"/>
      </w:pPr>
      <w:r>
        <w:rPr>
          <w:i/>
          <w:iCs/>
        </w:rPr>
        <w:t xml:space="preserve">Brownian motion is a stochastic process</w:t>
      </w:r>
      <w:r>
        <w:rPr>
          <w:i/>
          <w:iCs/>
        </w:rPr>
        <w:t xml:space="preserve"> </w:t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b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defined as a continuous-time process with the following properties: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almost surely.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has independent increments.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s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s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</m:e>
        </m:d>
      </m:oMath>
      <w:r>
        <w:t xml:space="preserve"> </w:t>
      </w:r>
      <w:r>
        <w:t xml:space="preserve">(normally distributed with mean 0 and variance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s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has continuous paths almost surely.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mywebstyle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plot_style</w:t>
      </w:r>
      <w:r>
        <w:br/>
      </w:r>
      <w:r>
        <w:rPr>
          <w:rStyle w:val="NormalTok"/>
        </w:rPr>
        <w:t xml:space="preserve">plot_style(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steps</w:t>
      </w:r>
      <w:r>
        <w:br/>
      </w:r>
      <w:r>
        <w:rPr>
          <w:rStyle w:val="NormalTok"/>
        </w:rPr>
        <w:t xml:space="preserve">n_paths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Number of paths</w:t>
      </w:r>
      <w:r>
        <w:br/>
      </w:r>
      <w:r>
        <w:rPr>
          <w:rStyle w:val="NormalTok"/>
        </w:rPr>
        <w:t xml:space="preserve">time_horizon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Total time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time_horizon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n_steps  </w:t>
      </w:r>
      <w:r>
        <w:rPr>
          <w:rStyle w:val="CommentTok"/>
        </w:rPr>
        <w:t xml:space="preserve"># Time step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time_horizon, n_steps)  </w:t>
      </w:r>
      <w:r>
        <w:rPr>
          <w:rStyle w:val="CommentTok"/>
        </w:rPr>
        <w:t xml:space="preserve"># Time array</w:t>
      </w:r>
      <w:r>
        <w:br/>
      </w:r>
      <w:r>
        <w:br/>
      </w:r>
      <w:r>
        <w:rPr>
          <w:rStyle w:val="CommentTok"/>
        </w:rPr>
        <w:t xml:space="preserve"># Generate Brownian motion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generate_brownian_paths(n_paths, n_steps, dt):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normal increments scaled by sqrt(dt)</w:t>
      </w:r>
      <w:r>
        <w:br/>
      </w:r>
      <w:r>
        <w:rPr>
          <w:rStyle w:val="NormalTok"/>
        </w:rPr>
        <w:t xml:space="preserve">    increments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np.sqrt(dt), (n_paths, n_steps))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sum to generate paths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np.cumsum(increments,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one path and multiple paths</w:t>
      </w:r>
      <w:r>
        <w:br/>
      </w:r>
      <w:r>
        <w:rPr>
          <w:rStyle w:val="NormalTok"/>
        </w:rPr>
        <w:t xml:space="preserve">single_path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generate_brownian_paths(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n_steps, dt)[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multiple_paths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generate_brownian_paths(n_paths, n_steps, dt)</w:t>
      </w:r>
      <w:r>
        <w:br/>
      </w:r>
      <w:r>
        <w:br/>
      </w:r>
      <w:r>
        <w:rPr>
          <w:rStyle w:val="CommentTok"/>
        </w:rPr>
        <w:t xml:space="preserve"># Plotting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Single path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single_path,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"Single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"Brownian Motion: Single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Multiple paths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multiple_paths: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].plot(t, path,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f"Brownian Motion: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n_paths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Paths"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5772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dex_files/figure-docx/cell-2-outpu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Geometric Brownian Motion (GBM)</w:t>
      </w:r>
      <w:r>
        <w:br/>
      </w:r>
      <w:r>
        <w:t xml:space="preserve">A stochastic process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said to follow a geometric Brownian motion if it satisfies the following equation: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Which can be written as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μ</m:t>
              </m:r>
            </m:e>
          </m:nary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t>d</m:t>
          </m:r>
          <m:r>
            <m:t>u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σ</m:t>
              </m:r>
            </m:e>
          </m:nary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t>d</m:t>
          </m:r>
          <m:sSub>
            <m:e>
              <m:r>
                <m:t>B</m:t>
              </m:r>
            </m:e>
            <m:sub>
              <m:r>
                <m:t>u</m:t>
              </m:r>
            </m:sub>
          </m:sSub>
        </m:oMath>
      </m:oMathPara>
    </w:p>
    <w:p>
      <w:pPr>
        <w:pStyle w:val="FirstParagraph"/>
      </w:pPr>
      <w:r>
        <w:t xml:space="preserve">To solve the GBM, we apply Ito’s formula to the function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and then by Taylor’s expansion, we have</w:t>
      </w:r>
    </w:p>
    <w:p>
      <w:pPr>
        <w:pStyle w:val="BodyText"/>
      </w:pPr>
    </w:p>
    <w:p>
      <w:pPr>
        <w:pStyle w:val="BodyText"/>
      </w:pPr>
      <w:r>
        <w:t xml:space="preserve">By definition we have</w:t>
      </w:r>
      <w:r>
        <w:t xml:space="preserve"> </w:t>
      </w:r>
    </w:p>
    <w:p>
      <w:pPr>
        <w:pStyle w:val="BodyText"/>
      </w:pPr>
      <w:r>
        <w:t xml:space="preserve">The term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is negligible compared to the term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and it is also assume that the product</w:t>
      </w:r>
      <w:r>
        <w:t xml:space="preserve"> </w:t>
      </w:r>
      <m:oMath>
        <m:r>
          <m:t>d</m:t>
        </m:r>
        <m:r>
          <m:t>t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negligible. Furthermore, the quadratic variation of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i.e.,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  <m:r>
          <m:t>t</m:t>
        </m:r>
      </m:oMath>
      <w:r>
        <w:t xml:space="preserve">. With these values, we obtain</w:t>
      </w:r>
    </w:p>
    <w:p>
      <w:pPr>
        <w:pStyle w:val="BodyText"/>
      </w:pPr>
    </w:p>
    <w:p>
      <w:pPr>
        <w:pStyle w:val="BodyText"/>
      </w:pPr>
      <w:r>
        <w:t xml:space="preserve">with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 Now we have the following</w:t>
      </w:r>
      <w:r>
        <w:br/>
      </w:r>
    </w:p>
    <w:bookmarkEnd w:id="23"/>
    <w:bookmarkEnd w:id="24"/>
    <w:bookmarkStart w:id="30" w:name="black-scholes-merton-formula"/>
    <w:p>
      <w:pPr>
        <w:pStyle w:val="Heading2"/>
      </w:pPr>
      <w:r>
        <w:t xml:space="preserve">Black-Scholes-Merton Formula</w:t>
      </w:r>
    </w:p>
    <w:p>
      <w:pPr>
        <w:pStyle w:val="FirstParagraph"/>
      </w:pPr>
      <w:r>
        <w:t xml:space="preserve">Now we are ready to derive the BSM PDE. The payoff of an</w:t>
      </w:r>
      <w:r>
        <w:t xml:space="preserve"> </w:t>
      </w:r>
      <w:r>
        <w:rPr>
          <w:i/>
          <w:iCs/>
        </w:rPr>
        <w:t xml:space="preserve">option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at maturity is is known. To find the value at an earlier stage, we need to know how V behaves as a function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. By Ito’s lemma we have</w:t>
      </w:r>
      <w:r>
        <w:t xml:space="preserve"> </w:t>
      </w:r>
    </w:p>
    <w:p>
      <w:pPr>
        <w:pStyle w:val="BodyText"/>
      </w:pPr>
      <w:r>
        <w:t xml:space="preserve">Now let’s consider a portfolio consisting of a short one option and long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V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t xml:space="preserve"> </w:t>
      </w:r>
      <w:r>
        <w:t xml:space="preserve">shares at time</w:t>
      </w:r>
      <w:r>
        <w:t xml:space="preserve"> </w:t>
      </w:r>
      <m:oMath>
        <m:r>
          <m:t>t</m:t>
        </m:r>
      </m:oMath>
      <w:r>
        <w:t xml:space="preserve">. The value of this portfolio is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t>S</m:t>
          </m:r>
        </m:oMath>
      </m:oMathPara>
    </w:p>
    <w:p>
      <w:pPr>
        <w:pStyle w:val="FirstParagraph"/>
      </w:pPr>
      <w:r>
        <w:t xml:space="preserve">over the time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Δ</m:t>
            </m:r>
            <m:r>
              <m:t>t</m:t>
            </m:r>
          </m:e>
        </m:d>
      </m:oMath>
      <w:r>
        <w:t xml:space="preserve">, the total profit or loss from the changes in the values of the portfolio is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Δ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t>Δ</m:t>
          </m:r>
          <m:r>
            <m:t>S</m:t>
          </m:r>
        </m:oMath>
      </m:oMathPara>
    </w:p>
    <w:p>
      <w:pPr>
        <w:pStyle w:val="FirstParagraph"/>
      </w:pPr>
      <w:r>
        <w:t xml:space="preserve">Now by the discretization we have,</w:t>
      </w:r>
      <w:r>
        <w:t xml:space="preserve"> </w:t>
      </w:r>
    </w:p>
    <w:p>
      <w:pPr>
        <w:pStyle w:val="BodyText"/>
      </w:pPr>
      <w:r>
        <w:t xml:space="preserve">At this point,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risk-free interest rate then we will have following relationship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Π</m:t>
          </m:r>
          <m:r>
            <m:t>Δ</m:t>
          </m:r>
          <m:r>
            <m:t>t</m:t>
          </m:r>
          <m:r>
            <m:rPr>
              <m:sty m:val="p"/>
            </m:rPr>
            <m:t>=</m:t>
          </m:r>
          <m:r>
            <m:t>Δ</m:t>
          </m:r>
          <m:r>
            <m:t>Π</m:t>
          </m:r>
        </m:oMath>
      </m:oMathPara>
    </w:p>
    <w:p>
      <w:pPr>
        <w:pStyle w:val="FirstParagraph"/>
      </w:pPr>
      <w:r>
        <w:t xml:space="preserve">The rationale of this relation is that no-aribtrage assumption. Thus, we have</w:t>
      </w:r>
      <w:r>
        <w:br/>
      </w:r>
    </w:p>
    <w:p>
      <w:pPr>
        <w:pStyle w:val="BodyText"/>
      </w:pPr>
      <w:r>
        <w:t xml:space="preserve">This is the famous Black-Scholes-Merton PDF, formally written with the boundary conditions as follows</w:t>
      </w:r>
    </w:p>
    <w:p>
      <w:pPr>
        <w:pStyle w:val="BodyText"/>
      </w:pPr>
    </w:p>
    <w:p>
      <w:pPr>
        <w:pStyle w:val="BodyText"/>
      </w:pPr>
      <w:r>
        <w:t xml:space="preserve">This Black-Scholes-Merton PDE can be reduced to the heat equation using the substitutions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K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and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K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. Let’s derive the solution step by step in full mathematical detail and show how this leads to the normal CDF.</w:t>
      </w:r>
    </w:p>
    <w:bookmarkStart w:id="25" w:name="step-1-substitutions"/>
    <w:p>
      <w:pPr>
        <w:pStyle w:val="Heading4"/>
      </w:pPr>
      <w:r>
        <w:t xml:space="preserve">Step 1: Substitutions</w:t>
      </w:r>
    </w:p>
    <w:p>
      <w:pPr>
        <w:pStyle w:val="FirstParagraph"/>
      </w:pPr>
      <w:r>
        <w:t xml:space="preserve">We aim to reduce the BSM PDE: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−</m:t>
          </m:r>
          <m:r>
            <m:t>r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to the heat equation. Using the substitutions: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t>K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 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K</m:t>
            </m:r>
          </m:e>
        </m:d>
      </m:oMath>
      <w:r>
        <w:t xml:space="preserve">, 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maps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K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, where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 </w:t>
      </w:r>
      <w:r>
        <w:t xml:space="preserve">is the transformed function.</w:t>
      </w:r>
    </w:p>
    <w:bookmarkEnd w:id="25"/>
    <w:bookmarkStart w:id="26" w:name="step-2-derivative-transformations"/>
    <w:p>
      <w:pPr>
        <w:pStyle w:val="Heading4"/>
      </w:pPr>
      <w:r>
        <w:t xml:space="preserve">Step 2: Derivative Transformations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K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, we compute derivatives.</w:t>
      </w:r>
    </w:p>
    <w:p>
      <w:pPr>
        <w:numPr>
          <w:ilvl w:val="0"/>
          <w:numId w:val="1003"/>
        </w:numPr>
      </w:pPr>
      <w:r>
        <w:t xml:space="preserve">The first derivative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</m:e>
              </m:d>
            </m:e>
          </m:d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K</m:t>
            </m:r>
          </m:e>
        </m:d>
      </m:oMath>
      <w:r>
        <w:t xml:space="preserve"> </w:t>
      </w:r>
      <w:r>
        <w:t xml:space="preserve">implies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</m:oMath>
      <w:r>
        <w:t xml:space="preserve">. Thus: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The second derivative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Using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The time derivative: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τ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and 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τ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26"/>
    <w:bookmarkStart w:id="27" w:name="step-3-transforming-the-pde"/>
    <w:p>
      <w:pPr>
        <w:pStyle w:val="Heading4"/>
      </w:pPr>
      <w:r>
        <w:t xml:space="preserve">Step 3: Transforming the PDE</w:t>
      </w:r>
    </w:p>
    <w:p>
      <w:pPr>
        <w:pStyle w:val="FirstParagraph"/>
      </w:pPr>
      <w:r>
        <w:t xml:space="preserve">Substituting the above derivatives into the BSM PDE, we rewrite each term.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c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c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c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all these into the BSM PDE: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r>
            <m:t>r</m:t>
          </m:r>
          <m:r>
            <m:t>K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Divide through by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simplify, let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τ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α</m:t>
            </m:r>
            <m:r>
              <m:t>x</m:t>
            </m:r>
            <m:r>
              <m:rPr>
                <m:sty m:val="p"/>
              </m:rPr>
              <m:t>+</m:t>
            </m:r>
            <m:r>
              <m:t>β</m:t>
            </m:r>
            <m:r>
              <m:t>τ</m:t>
            </m:r>
          </m:sup>
        </m:sSup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,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are constants. Substituting and choosing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the equation reduces to: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step-4-solving-the-heat-equation"/>
    <w:p>
      <w:pPr>
        <w:pStyle w:val="Heading4"/>
      </w:pPr>
      <w:r>
        <w:t xml:space="preserve">Step 4: Solving the Heat Equation</w:t>
      </w:r>
    </w:p>
    <w:p>
      <w:pPr>
        <w:pStyle w:val="FirstParagraph"/>
      </w:pPr>
      <w:r>
        <w:t xml:space="preserve">The heat equation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τ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has a well-known solution using Fourier methods: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τ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t>τ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y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τ</m:t>
                      </m:r>
                    </m:den>
                  </m:f>
                </m:sup>
              </m:sSup>
            </m:e>
          </m:nary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is the initial condition.</w:t>
      </w:r>
    </w:p>
    <w:p>
      <w:pPr>
        <w:pStyle w:val="BodyText"/>
      </w:pPr>
      <w:r>
        <w:t xml:space="preserve">For the BSM problem, the initial condition is the payoff: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Performing the integration leads to the final solution involving the cumulative normal distribution function: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τ</m:t>
              </m:r>
            </m:e>
          </m:d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τ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τ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Transforming back to the original variables gives the Black-Scholes formula: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sup>
          </m:sSup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sup>
          </m:sSup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we can derive the price of a European put option: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S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T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</m:oMath>
      </m:oMathPara>
    </w:p>
    <w:bookmarkEnd w:id="28"/>
    <w:bookmarkStart w:id="29" w:name="X7b8830d054ecd887231f1fae8c12be8276e2d53"/>
    <w:p>
      <w:pPr>
        <w:pStyle w:val="Heading3"/>
      </w:pPr>
      <w:r>
        <w:t xml:space="preserve">Asymptotic Behavior of the BSM formula for call and put options</w:t>
      </w:r>
    </w:p>
    <w:p>
      <w:pPr>
        <w:pStyle w:val="FirstParagraph"/>
      </w:pPr>
      <w:r>
        <w:t xml:space="preserve">What if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  <w:r>
        <w:t xml:space="preserve">? In that case,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K</m:t>
            </m:r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causing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cdf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→</m:t>
        </m:r>
        <m:r>
          <m:t>1</m:t>
        </m:r>
      </m:oMath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second term</w:t>
      </w:r>
      <w:r>
        <w:t xml:space="preserve"> </w:t>
      </w:r>
      <m:oMath>
        <m:r>
          <m:t>K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</w:p>
    <w:p>
      <w:pPr>
        <w:pStyle w:val="FirstParagraph"/>
      </w:pPr>
      <w:r>
        <w:t xml:space="preserve">In this case, the price of a call option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price of a put option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</w:p>
    <w:bookmarkEnd w:id="29"/>
    <w:bookmarkEnd w:id="30"/>
    <w:bookmarkStart w:id="31" w:name="greeks-delta-and-gamma"/>
    <w:p>
      <w:pPr>
        <w:pStyle w:val="Heading2"/>
      </w:pPr>
      <w:r>
        <w:t xml:space="preserve">Greeks: Delta and Gamma</w:t>
      </w:r>
    </w:p>
    <w:p>
      <w:pPr>
        <w:pStyle w:val="FirstParagraph"/>
      </w:pPr>
      <w:r>
        <w:rPr>
          <w:b/>
          <w:bCs/>
        </w:rPr>
        <w:t xml:space="preserve">Delta</w:t>
      </w:r>
      <w:r>
        <w:t xml:space="preserve"> </w:t>
      </w:r>
      <w:r>
        <w:t xml:space="preserve">(</w:t>
      </w:r>
      <m:oMath>
        <m:r>
          <m:t>Δ</m:t>
        </m:r>
      </m:oMath>
      <w:r>
        <w:t xml:space="preserve">) is the sensitivity of the option price to changes in the underlying asset price: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num>
            <m:den>
              <m:r>
                <m:t>2</m:t>
              </m:r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central difference approximation</w:t>
      </w:r>
      <w:r>
        <w:t xml:space="preserve">, which provides a more accurate estimate of delta compared to the forward or backward difference methods.</w:t>
      </w:r>
    </w:p>
    <w:p>
      <w:pPr>
        <w:pStyle w:val="Compact"/>
        <w:numPr>
          <w:ilvl w:val="0"/>
          <w:numId w:val="1006"/>
        </w:numPr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t xml:space="preserve">: Calculate the option price with the spot price increased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t xml:space="preserve">: Calculate the option price with the spot price decreased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Gamma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) measures the rate of change of delta with respect to the underlying asset price: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num>
            <m:den>
              <m:r>
                <m:t>2</m:t>
              </m:r>
              <m:r>
                <m:t>h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Gamma (</w:t>
      </w:r>
      <m:oMath>
        <m:r>
          <m:t>Γ</m:t>
        </m:r>
      </m:oMath>
      <w:r>
        <w:t xml:space="preserve">) measures the rate of change of delta (</w:t>
      </w:r>
      <m:oMath>
        <m:r>
          <m:t>Δ</m:t>
        </m:r>
      </m:oMath>
      <w:r>
        <w:t xml:space="preserve">) with respect to the underlying spot price (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t xml:space="preserve">: Option price with the spot price increased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: Option price at the current spot price.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t xml:space="preserve">: Option price with the spot price decreased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 Between Delta and Gamma:</w:t>
      </w:r>
    </w:p>
    <w:p>
      <w:pPr>
        <w:pStyle w:val="Compact"/>
        <w:numPr>
          <w:ilvl w:val="0"/>
          <w:numId w:val="1008"/>
        </w:numPr>
      </w:pPr>
      <w:r>
        <w:t xml:space="preserve">Gamma represents how much delta changes for a small change in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gamma is high, delta is more sensitive to changes in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, which is important for hedging strategies.</w:t>
      </w:r>
    </w:p>
    <w:bookmarkEnd w:id="31"/>
    <w:bookmarkStart w:id="34" w:name="implementation"/>
    <w:p>
      <w:pPr>
        <w:pStyle w:val="Heading2"/>
      </w:pPr>
      <w:r>
        <w:t xml:space="preserve">Implementation</w:t>
      </w:r>
    </w:p>
    <w:bookmarkStart w:id="32" w:name="notation"/>
    <w:p>
      <w:pPr>
        <w:pStyle w:val="Heading3"/>
      </w:pPr>
      <w:r>
        <w:t xml:space="preserve">Notation</w:t>
      </w:r>
    </w:p>
    <w:p>
      <w:pPr>
        <w:pStyle w:val="Compact"/>
        <w:numPr>
          <w:ilvl w:val="0"/>
          <w:numId w:val="1009"/>
        </w:numPr>
      </w:pPr>
      <m:oMath>
        <m:r>
          <m:t>S</m:t>
        </m:r>
      </m:oMath>
      <w:r>
        <w:t xml:space="preserve">: Spot price of the stock.</w:t>
      </w:r>
    </w:p>
    <w:p>
      <w:pPr>
        <w:pStyle w:val="Compact"/>
        <w:numPr>
          <w:ilvl w:val="0"/>
          <w:numId w:val="1009"/>
        </w:numPr>
      </w:pPr>
      <m:oMath>
        <m:r>
          <m:t>K</m:t>
        </m:r>
      </m:oMath>
      <w:r>
        <w:t xml:space="preserve">: Strike price of the option.</w:t>
      </w:r>
    </w:p>
    <w:p>
      <w:pPr>
        <w:pStyle w:val="Compact"/>
        <w:numPr>
          <w:ilvl w:val="0"/>
          <w:numId w:val="1009"/>
        </w:numPr>
      </w:pPr>
      <m:oMath>
        <m:r>
          <m:t>T</m:t>
        </m:r>
      </m:oMath>
      <w:r>
        <w:t xml:space="preserve">: Time to maturity (in years).</w:t>
      </w:r>
    </w:p>
    <w:p>
      <w:pPr>
        <w:pStyle w:val="Compact"/>
        <w:numPr>
          <w:ilvl w:val="0"/>
          <w:numId w:val="1009"/>
        </w:numPr>
      </w:pPr>
      <m:oMath>
        <m:r>
          <m:t>r</m:t>
        </m:r>
      </m:oMath>
      <w:r>
        <w:t xml:space="preserve">: Risk-free rate (continuously compounded).</w:t>
      </w:r>
    </w:p>
    <w:p>
      <w:pPr>
        <w:pStyle w:val="Compact"/>
        <w:numPr>
          <w:ilvl w:val="0"/>
          <w:numId w:val="1009"/>
        </w:numPr>
      </w:pPr>
      <m:oMath>
        <m:r>
          <m:t>q</m:t>
        </m:r>
      </m:oMath>
      <w:r>
        <w:t xml:space="preserve">: Dividend yield (continuously compounded).</w:t>
      </w:r>
    </w:p>
    <w:p>
      <w:pPr>
        <w:pStyle w:val="Compact"/>
        <w:numPr>
          <w:ilvl w:val="0"/>
          <w:numId w:val="1009"/>
        </w:numPr>
      </w:pPr>
      <m:oMath>
        <m:r>
          <m:t>σ</m:t>
        </m:r>
      </m:oMath>
      <w:r>
        <w:t xml:space="preserve">: Volatility of the stock.</w:t>
      </w:r>
    </w:p>
    <w:p>
      <w:pPr>
        <w:pStyle w:val="Compact"/>
        <w:numPr>
          <w:ilvl w:val="0"/>
          <w:numId w:val="1009"/>
        </w:numPr>
      </w:pP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: Cumulative distribution function of the standard normal distribution.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Equity:</w:t>
      </w:r>
      <w:r>
        <w:br/>
      </w:r>
      <w:r>
        <w:rPr>
          <w:rStyle w:val="NormalTok"/>
        </w:rPr>
        <w:t xml:space="preserve">    spot: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dividend_yield: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volatility: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EquityOption:</w:t>
      </w:r>
      <w:r>
        <w:br/>
      </w:r>
      <w:r>
        <w:rPr>
          <w:rStyle w:val="NormalTok"/>
        </w:rPr>
        <w:t xml:space="preserve">    strike: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time_to_maturity: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put_call: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EquityForward:</w:t>
      </w:r>
      <w:r>
        <w:br/>
      </w:r>
      <w:r>
        <w:rPr>
          <w:rStyle w:val="NormalTok"/>
        </w:rPr>
        <w:t xml:space="preserve">    strike: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time_to_maturity: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bsm(underlying: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underlying.volatility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edge case where strike is effectively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np.sqrt(T))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norm.cdf(d1)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norm.cdf(d2)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d2)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option type. Must be 'call' or 'put'."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delta(underlying: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bumped_up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bumped_down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price_up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bsm(bumped_up, option, rate)</w:t>
      </w:r>
      <w:r>
        <w:br/>
      </w:r>
      <w:r>
        <w:rPr>
          <w:rStyle w:val="NormalTok"/>
        </w:rPr>
        <w:t xml:space="preserve">    price_down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bsm(bumped_down, option, rate)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(price_up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price_down)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bump)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bumped_up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bumped_down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original_price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option, rate)</w:t>
      </w:r>
      <w:r>
        <w:br/>
      </w:r>
      <w:r>
        <w:rPr>
          <w:rStyle w:val="NormalTok"/>
        </w:rPr>
        <w:t xml:space="preserve">    price_up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bsm(bumped_up, option, rate)</w:t>
      </w:r>
      <w:r>
        <w:br/>
      </w:r>
      <w:r>
        <w:rPr>
          <w:rStyle w:val="NormalTok"/>
        </w:rPr>
        <w:t xml:space="preserve">    price_down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bsm(bumped_down, option, rate)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(price_up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original_price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price_down)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(bump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fwd(underlying: Equity, forward: EquityForward,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rPr>
          <w:rStyle w:val="NormalTok"/>
        </w:rPr>
        <w:t xml:space="preserve">    forward_price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forward_price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check_put_call_parity(</w:t>
      </w:r>
      <w:r>
        <w:br/>
      </w:r>
      <w:r>
        <w:rPr>
          <w:rStyle w:val="NormalTok"/>
        </w:rPr>
        <w:t xml:space="preserve">    underlying: Equity, </w:t>
      </w:r>
      <w:r>
        <w:br/>
      </w:r>
      <w:r>
        <w:rPr>
          <w:rStyle w:val="NormalTok"/>
        </w:rPr>
        <w:t xml:space="preserve">    call_option: EquityOption, </w:t>
      </w:r>
      <w:r>
        <w:br/>
      </w:r>
      <w:r>
        <w:rPr>
          <w:rStyle w:val="NormalTok"/>
        </w:rPr>
        <w:t xml:space="preserve">    put_option: EquityOption, </w:t>
      </w:r>
      <w:r>
        <w:br/>
      </w:r>
      <w:r>
        <w:rPr>
          <w:rStyle w:val="NormalTok"/>
        </w:rPr>
        <w:t xml:space="preserve">    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call_price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call_option, rate)</w:t>
      </w:r>
      <w:r>
        <w:br/>
      </w:r>
      <w:r>
        <w:rPr>
          <w:rStyle w:val="NormalTok"/>
        </w:rPr>
        <w:t xml:space="preserve">    put_price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put_option, rate)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call_option.strike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call_option.time_to_maturity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br/>
      </w:r>
      <w:r>
        <w:rPr>
          <w:rStyle w:val="NormalTok"/>
        </w:rPr>
        <w:t xml:space="preserve">    parity_lhs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put_price</w:t>
      </w:r>
      <w:r>
        <w:br/>
      </w:r>
      <w:r>
        <w:rPr>
          <w:rStyle w:val="NormalTok"/>
        </w:rPr>
        <w:t xml:space="preserve">    parity_rhs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np.isclose(parity_lhs, parity_rhs,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</w:t>
      </w:r>
    </w:p>
    <w:bookmarkEnd w:id="32"/>
    <w:bookmarkStart w:id="33" w:name="example-usage"/>
    <w:p>
      <w:pPr>
        <w:pStyle w:val="Heading3"/>
      </w:pPr>
      <w:r>
        <w:t xml:space="preserve">Example Usage</w:t>
      </w:r>
    </w:p>
    <w:p>
      <w:pPr>
        <w:pStyle w:val="FirstParagraph"/>
      </w:pPr>
      <w:r>
        <w:t xml:space="preserve">Say, we want to price a call option on an equity with spot price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450</m:t>
        </m:r>
      </m:oMath>
      <w:r>
        <w:t xml:space="preserve"> </w:t>
      </w:r>
      <w:r>
        <w:t xml:space="preserve">with dividend yield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1.4</m:t>
        </m:r>
        <m:r>
          <m:rPr>
            <m:sty m:val="p"/>
          </m:rPr>
          <m:t>%</m:t>
        </m:r>
      </m:oMath>
      <w:r>
        <w:t xml:space="preserve">, and volatility</w:t>
      </w:r>
      <w:r>
        <w:t xml:space="preserve"> </w:t>
      </w:r>
      <m:oMath>
        <m:r>
          <m:t>14</m:t>
        </m:r>
        <m:r>
          <m:rPr>
            <m:sty m:val="p"/>
          </m:rPr>
          <m:t>%</m:t>
        </m:r>
      </m:oMath>
      <w:r>
        <w:t xml:space="preserve">. The strike price of the call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470</m:t>
        </m:r>
      </m:oMath>
      <w:r>
        <w:t xml:space="preserve">, with time to maturity in years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0.23</m:t>
        </m:r>
      </m:oMath>
      <w:r>
        <w:t xml:space="preserve"> </w:t>
      </w:r>
      <w:r>
        <w:t xml:space="preserve">and the risk free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Next, we want to see the asymptotic behavior of the call option if the strike price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with interest rate 0.</w:t>
      </w:r>
      <w:r>
        <w:t xml:space="preserve"> </w:t>
      </w:r>
      <w:r>
        <w:t xml:space="preserve"> </w:t>
      </w:r>
      <w:r>
        <w:t xml:space="preserve">Next, we want to price a put option on the same equity but strike price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500</m:t>
        </m:r>
      </m:oMath>
      <w:r>
        <w:t xml:space="preserve">, time to maturity in years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0.26</m:t>
        </m:r>
      </m:oMath>
      <w:r>
        <w:t xml:space="preserve"> </w:t>
      </w:r>
      <w:r>
        <w:t xml:space="preserve">and interest rate is 0.</w:t>
      </w:r>
      <w:r>
        <w:t xml:space="preserve"> </w:t>
      </w:r>
      <w:r>
        <w:t xml:space="preserve"> </w:t>
      </w:r>
      <w:r>
        <w:t xml:space="preserve">Finally, we want to check if the put-call parity relationship is hold.</w:t>
      </w:r>
      <w:r>
        <w:t xml:space="preserve"> </w:t>
      </w:r>
      <w:r>
        <w:t xml:space="preserve"> </w:t>
      </w:r>
      <w:r>
        <w:t xml:space="preserve"> </w:t>
      </w:r>
      <w:r>
        <w:t xml:space="preserve">In each case, we consider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a bump or small change in the stock price.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(bsm(eq, option_call,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(bsm(eq, EquityOption(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), option_put,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put-call parity</w:t>
      </w:r>
      <w:r>
        <w:br/>
      </w:r>
      <w:r>
        <w:rPr>
          <w:rStyle w:val="NormalTok"/>
        </w:rPr>
        <w:t xml:space="preserve">   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(check_put_call_parity(eq, option_call, option_put,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5.834035584709966</w:t>
      </w:r>
      <w:r>
        <w:br/>
      </w:r>
      <w:r>
        <w:rPr>
          <w:rStyle w:val="VerbatimChar"/>
        </w:rPr>
        <w:t xml:space="preserve">450</w:t>
      </w:r>
      <w:r>
        <w:br/>
      </w:r>
      <w:r>
        <w:rPr>
          <w:rStyle w:val="VerbatimChar"/>
        </w:rPr>
        <w:t xml:space="preserve">50.0</w:t>
      </w:r>
      <w:r>
        <w:br/>
      </w:r>
      <w:r>
        <w:rPr>
          <w:rStyle w:val="VerbatimChar"/>
        </w:rPr>
        <w:t xml:space="preserve">True</w:t>
      </w:r>
    </w:p>
    <w:bookmarkEnd w:id="33"/>
    <w:bookmarkEnd w:id="34"/>
    <w:bookmarkStart w:id="3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0"/>
        </w:numPr>
      </w:pPr>
      <w:r>
        <w:t xml:space="preserve">Karatzas, I., &amp; Shreve, S. E. (1991).</w:t>
      </w:r>
      <w:r>
        <w:t xml:space="preserve"> </w:t>
      </w:r>
      <w:r>
        <w:rPr>
          <w:i/>
          <w:iCs/>
        </w:rPr>
        <w:t xml:space="preserve">Brownian Motion and Stochastic Calculus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Options, Futures, and Other Derivatives by John C. Hull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Arbitrage Theory in Continuous Time Book by Tomas Björk</w:t>
      </w:r>
    </w:p>
    <w:p>
      <w:pPr>
        <w:pStyle w:val="FirstParagraph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Start w:id="35" w:name="fb-root"/>
    <w:bookmarkEnd w:id="35"/>
    <w:p>
      <w:pPr>
        <w:pStyle w:val="BodyText"/>
      </w:pPr>
      <w:r>
        <w:rPr>
          <w:b/>
          <w:bCs/>
        </w:rPr>
        <w:t xml:space="preserve">You may also like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Derivatives Using Black-Scholes-Merton Model</dc:title>
  <dc:creator>Rafiq Islam</dc:creator>
  <cp:keywords/>
  <dcterms:created xsi:type="dcterms:W3CDTF">2025-01-24T22:04:08Z</dcterms:created>
  <dcterms:modified xsi:type="dcterms:W3CDTF">2025-01-24T22:04:08Z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2023-11-12</vt:lpwstr>
  </property>
  <property fmtid="{D5CDD505-2E9C-101B-9397-08002B2CF9AE}" pid="9" name="header-includes">
    <vt:lpwstr/>
  </property>
  <property fmtid="{D5CDD505-2E9C-101B-9397-08002B2CF9AE}" pid="10" name="image">
    <vt:lpwstr>bsm.png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