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30"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20"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20"/>
    <w:bookmarkStart w:id="29"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p>
        </w:tc>
        <w:tc>
          <w:tcPr/>
          <w:p>
            <w:pPr>
              <w:pStyle w:val="Compact"/>
            </w:pPr>
            <m:oMath>
              <m:sSub>
                <m:e>
                  <m:r>
                    <m:t>x</m:t>
                  </m:r>
                </m:e>
                <m:sub>
                  <m:r>
                    <m:t>2</m:t>
                  </m:r>
                </m:sub>
              </m:sSub>
            </m:oMath>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21"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d>
          <m:dPr>
            <m:begChr m:val="["/>
            <m:endChr m:val="]"/>
            <m:sepChr m:val=""/>
            <m:grow/>
          </m:dPr>
          <m:e>
            <m:r>
              <m:t>0.25</m:t>
            </m:r>
            <m:r>
              <m:rPr>
                <m:sty m:val="p"/>
              </m:rPr>
              <m:t>,</m:t>
            </m:r>
            <m:r>
              <m:t>0.25</m:t>
            </m:r>
            <m:r>
              <m:rPr>
                <m:sty m:val="p"/>
              </m:rPr>
              <m:t>,</m:t>
            </m:r>
            <m:r>
              <m:t>0.25</m:t>
            </m:r>
            <m:r>
              <m:rPr>
                <m:sty m:val="p"/>
              </m:rPr>
              <m:t>,</m:t>
            </m:r>
            <m:r>
              <m:t>0.25</m:t>
            </m:r>
          </m:e>
        </m:d>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d>
          <m:dPr>
            <m:begChr m:val="("/>
            <m:endChr m:val=")"/>
            <m:sepChr m:val=""/>
            <m:grow/>
          </m:dPr>
          <m:e>
            <m:r>
              <m:t>x</m:t>
            </m:r>
          </m:e>
        </m:d>
      </m:oMath>
      <w:r>
        <w:t xml:space="preserve"> </w:t>
      </w:r>
      <w:r>
        <w:t xml:space="preserve">learner,</w:t>
      </w:r>
      <w:r>
        <w:t xml:space="preserve"> </w:t>
      </w:r>
      <m:oMath>
        <m:r>
          <m:t>x</m:t>
        </m:r>
      </m:oMath>
      <w:r>
        <w:t xml:space="preserve"> </w:t>
      </w:r>
      <w:r>
        <w:t xml:space="preserve">is the row from the data set, i.e. </w:t>
      </w:r>
      <m:oMath>
        <m:r>
          <m:t>x</m:t>
        </m:r>
        <m:r>
          <m:rPr>
            <m:sty m:val="p"/>
          </m:rPr>
          <m:t>=</m:t>
        </m:r>
        <m:d>
          <m:dPr>
            <m:begChr m:val="["/>
            <m:endChr m:val="]"/>
            <m:sepChr m:val=""/>
            <m:grow/>
          </m:dPr>
          <m:e>
            <m:sSub>
              <m:e>
                <m:r>
                  <m:t>x</m:t>
                </m:r>
              </m:e>
              <m:sub>
                <m:r>
                  <m:t>1</m:t>
                </m:r>
              </m:sub>
            </m:sSub>
            <m:r>
              <m:rPr>
                <m:sty m:val="p"/>
              </m:rPr>
              <m:t>,</m:t>
            </m:r>
            <m:sSub>
              <m:e>
                <m:r>
                  <m:t>x</m:t>
                </m:r>
              </m:e>
              <m:sub>
                <m:r>
                  <m:t>2</m:t>
                </m:r>
              </m:sub>
            </m:sSub>
          </m:e>
        </m:d>
      </m:oMath>
      <w:r>
        <w:t xml:space="preserve">. Therefore, for</w:t>
      </w:r>
      <w:r>
        <w:t xml:space="preserve"> </w:t>
      </w:r>
      <m:oMath>
        <m:sSub>
          <m:e>
            <m:r>
              <m:t>h</m:t>
            </m:r>
          </m:e>
          <m:sub>
            <m:r>
              <m:t>1</m:t>
            </m:r>
          </m:sub>
        </m:sSub>
        <m:d>
          <m:dPr>
            <m:begChr m:val="("/>
            <m:endChr m:val=")"/>
            <m:sepChr m:val=""/>
            <m:grow/>
          </m:dPr>
          <m:e>
            <m:sSub>
              <m:e>
                <m:r>
                  <m:t>x</m:t>
                </m:r>
              </m:e>
              <m:sub>
                <m:r>
                  <m:t>1</m:t>
                </m:r>
              </m:sub>
            </m:sSub>
          </m:e>
        </m:d>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But our true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rPr>
                <m:sty m:val="p"/>
              </m:rPr>
              <m:t>−</m:t>
            </m:r>
            <m:r>
              <m:t>1</m:t>
            </m:r>
          </m:e>
        </m:d>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ty m:val="p"/>
                  <m:scr m:val="double-struck"/>
                </m:rPr>
                <m:t>1</m:t>
              </m:r>
              <m:d>
                <m:dPr>
                  <m:begChr m:val="("/>
                  <m:endChr m:val=")"/>
                  <m:sepChr m:val=""/>
                  <m:grow/>
                </m:dPr>
                <m:e>
                  <m:sSub>
                    <m:e>
                      <m:r>
                        <m:t>y</m:t>
                      </m:r>
                    </m:e>
                    <m:sub>
                      <m:r>
                        <m:t>i</m:t>
                      </m:r>
                    </m:sub>
                  </m:sSub>
                  <m:r>
                    <m:rPr>
                      <m:sty m:val="p"/>
                    </m:rPr>
                    <m:t>≠</m:t>
                  </m:r>
                  <m:sSub>
                    <m:e>
                      <m:r>
                        <m:t>h</m:t>
                      </m:r>
                    </m:e>
                    <m:sub>
                      <m:r>
                        <m:t>1</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ty m:val="p"/>
            <m:scr m:val="double-struck"/>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d>
                <m:dPr>
                  <m:begChr m:val="("/>
                  <m:endChr m:val=")"/>
                  <m:sepChr m:val=""/>
                  <m:grow/>
                </m:dPr>
                <m:e>
                  <m:r>
                    <m:t>0</m:t>
                  </m:r>
                  <m:r>
                    <m:rPr>
                      <m:sty m:val="p"/>
                    </m:rPr>
                    <m:t>+</m:t>
                  </m:r>
                  <m:r>
                    <m:t>1</m:t>
                  </m:r>
                  <m:r>
                    <m:rPr>
                      <m:sty m:val="p"/>
                    </m:rPr>
                    <m:t>+</m:t>
                  </m:r>
                  <m:r>
                    <m:t>0</m:t>
                  </m:r>
                  <m:r>
                    <m:rPr>
                      <m:sty m:val="p"/>
                    </m:rPr>
                    <m:t>+</m:t>
                  </m:r>
                  <m:r>
                    <m:t>0</m:t>
                  </m:r>
                </m:e>
              </m:d>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endChr m:val=")"/>
              <m:sep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sSubSup>
            <m:e>
              <m:r>
                <m:t>w</m:t>
              </m:r>
            </m:e>
            <m:sub>
              <m:r>
                <m:t>i</m:t>
              </m:r>
            </m:sub>
            <m:sup>
              <m:d>
                <m:dPr>
                  <m:begChr m:val="("/>
                  <m:endChr m:val=")"/>
                  <m:sepChr m:val=""/>
                  <m:grow/>
                </m:dPr>
                <m:e>
                  <m:r>
                    <m:t>1</m:t>
                  </m:r>
                </m:e>
              </m:d>
            </m:sup>
          </m:sSubSup>
          <m:r>
            <m:rPr>
              <m:sty m:val="p"/>
            </m:rPr>
            <m:t>⋅</m:t>
          </m:r>
          <m:r>
            <m:rPr>
              <m:sty m:val="p"/>
            </m:rPr>
            <m:t>exp</m:t>
          </m:r>
          <m:d>
            <m:dPr>
              <m:begChr m:val="("/>
              <m:endChr m:val=")"/>
              <m:sepChr m:val=""/>
              <m:grow/>
            </m:dPr>
            <m:e>
              <m:sSub>
                <m:e>
                  <m:r>
                    <m:t>α</m:t>
                  </m:r>
                </m:e>
                <m:sub>
                  <m:r>
                    <m:t>1</m:t>
                  </m:r>
                </m:sub>
              </m:sSub>
              <m:r>
                <m:rPr>
                  <m:sty m:val="p"/>
                </m:rPr>
                <m:t>⋅</m:t>
              </m:r>
              <m:sSub>
                <m:e>
                  <m:r>
                    <m:t>y</m:t>
                  </m:r>
                </m:e>
                <m:sub>
                  <m:r>
                    <m:t>i</m:t>
                  </m:r>
                </m:sub>
              </m:sSub>
              <m:r>
                <m:rPr>
                  <m:sty m:val="p"/>
                </m:rPr>
                <m:t>⋅</m:t>
              </m:r>
              <m:sSub>
                <m:e>
                  <m:r>
                    <m:t>h</m:t>
                  </m:r>
                </m:e>
                <m:sub>
                  <m:r>
                    <m:t>1</m:t>
                  </m:r>
                </m:sub>
              </m:sSub>
              <m:d>
                <m:dPr>
                  <m:begChr m:val="("/>
                  <m:endChr m:val=")"/>
                  <m:sepChr m:val=""/>
                  <m:grow/>
                </m:dPr>
                <m:e>
                  <m:sSub>
                    <m:e>
                      <m:r>
                        <m:t>x</m:t>
                      </m:r>
                    </m:e>
                    <m:sub>
                      <m:r>
                        <m:t>i</m:t>
                      </m:r>
                    </m:sub>
                  </m:sSub>
                </m:e>
              </m:d>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d>
            <m:dPr>
              <m:begChr m:val="["/>
              <m:endChr m:val="]"/>
              <m:sepChr m:val=""/>
              <m:grow/>
            </m:dPr>
            <m:e>
              <m:r>
                <m:t>0.25</m:t>
              </m:r>
              <m:r>
                <m:rPr>
                  <m:sty m:val="p"/>
                </m:rPr>
                <m:t>,</m:t>
              </m:r>
              <m:r>
                <m:t>0.75</m:t>
              </m:r>
              <m:r>
                <m:rPr>
                  <m:sty m:val="p"/>
                </m:rPr>
                <m:t>,</m:t>
              </m:r>
              <m:r>
                <m:t>0.25</m:t>
              </m:r>
              <m:r>
                <m:rPr>
                  <m:sty m:val="p"/>
                </m:rPr>
                <m:t>,</m:t>
              </m:r>
              <m:r>
                <m:t>0.25</m:t>
              </m:r>
            </m:e>
          </m:d>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sSubSup>
                <m:e>
                  <m:r>
                    <m:t>w</m:t>
                  </m:r>
                </m:e>
                <m:sub>
                  <m:r>
                    <m:t>i</m:t>
                  </m:r>
                </m:sub>
                <m:sup>
                  <m:d>
                    <m:dPr>
                      <m:begChr m:val="("/>
                      <m:endChr m:val=")"/>
                      <m:sepChr m:val=""/>
                      <m:grow/>
                    </m:dPr>
                    <m:e>
                      <m:r>
                        <m:t>1</m:t>
                      </m:r>
                    </m:e>
                  </m:d>
                </m:sup>
              </m:sSubSup>
            </m:num>
            <m:den>
              <m:r>
                <m:rPr>
                  <m:sty m:val="p"/>
                </m:rPr>
                <m:t>∑</m:t>
              </m:r>
              <m:sSubSup>
                <m:e>
                  <m:r>
                    <m:t>w</m:t>
                  </m:r>
                </m:e>
                <m:sub>
                  <m:r>
                    <m:t>i</m:t>
                  </m:r>
                </m:sub>
                <m:sup>
                  <m:d>
                    <m:dPr>
                      <m:begChr m:val="("/>
                      <m:endChr m:val=")"/>
                      <m:sepChr m:val=""/>
                      <m:grow/>
                    </m:dPr>
                    <m:e>
                      <m:r>
                        <m:t>1</m:t>
                      </m:r>
                    </m:e>
                  </m:d>
                </m:sup>
              </m:sSubSup>
            </m:den>
          </m:f>
        </m:oMath>
      </m:oMathPara>
    </w:p>
    <w:p>
      <w:pPr>
        <w:pStyle w:val="FirstParagraph"/>
      </w:pPr>
      <w:r>
        <w:t xml:space="preserve">Final normalized weights:</w:t>
      </w:r>
      <w:r>
        <w:t xml:space="preserve"> </w:t>
      </w:r>
      <m:oMath>
        <m:r>
          <m:t>w</m:t>
        </m:r>
        <m:r>
          <m:rPr>
            <m:sty m:val="p"/>
          </m:rPr>
          <m:t>=</m:t>
        </m:r>
        <m:d>
          <m:dPr>
            <m:begChr m:val="["/>
            <m:endChr m:val="]"/>
            <m:sepChr m:val=""/>
            <m:grow/>
          </m:dPr>
          <m:e>
            <m:r>
              <m:t>0.17</m:t>
            </m:r>
            <m:r>
              <m:rPr>
                <m:sty m:val="p"/>
              </m:rPr>
              <m:t>,</m:t>
            </m:r>
            <m:r>
              <m:t>0.5</m:t>
            </m:r>
            <m:r>
              <m:rPr>
                <m:sty m:val="p"/>
              </m:rPr>
              <m:t>,</m:t>
            </m:r>
            <m:r>
              <m:t>0.17</m:t>
            </m:r>
            <m:r>
              <m:rPr>
                <m:sty m:val="p"/>
              </m:rPr>
              <m:t>,</m:t>
            </m:r>
            <m:r>
              <m:t>0.17</m:t>
            </m:r>
          </m:e>
        </m:d>
      </m:oMath>
      <w:r>
        <w:t xml:space="preserve">. Notice that, for the incorrect prediction, the weight increased and for the correct prediction the weights decreased.</w:t>
      </w:r>
    </w:p>
    <w:bookmarkEnd w:id="21"/>
    <w:bookmarkStart w:id="28"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where as the actual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t>1</m:t>
            </m:r>
          </m:e>
        </m:d>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endChr m:val=")"/>
              <m:sep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d>
          <m:dPr>
            <m:begChr m:val="["/>
            <m:endChr m:val="]"/>
            <m:sepChr m:val=""/>
            <m:grow/>
          </m:dPr>
          <m:e>
            <m:r>
              <m:t>0.83</m:t>
            </m:r>
            <m:r>
              <m:rPr>
                <m:sty m:val="p"/>
              </m:rPr>
              <m:t>,</m:t>
            </m:r>
            <m:r>
              <m:t>0.5</m:t>
            </m:r>
            <m:r>
              <m:rPr>
                <m:sty m:val="p"/>
              </m:rPr>
              <m:t>,</m:t>
            </m:r>
            <m:r>
              <m:t>0.17</m:t>
            </m:r>
            <m:r>
              <m:rPr>
                <m:sty m:val="p"/>
              </m:rPr>
              <m:t>,</m:t>
            </m:r>
            <m:r>
              <m:t>0.17</m:t>
            </m:r>
          </m:e>
        </m:d>
      </m:oMath>
      <w:r>
        <w:t xml:space="preserve"> </w:t>
      </w:r>
      <w:r>
        <w:t xml:space="preserve">and after normalizing</w:t>
      </w:r>
      <w:r>
        <w:t xml:space="preserve"> </w:t>
      </w:r>
      <m:oMath>
        <m:r>
          <m:t>w</m:t>
        </m:r>
        <m:r>
          <m:rPr>
            <m:sty m:val="p"/>
          </m:rPr>
          <m:t>=</m:t>
        </m:r>
        <m:d>
          <m:dPr>
            <m:begChr m:val="["/>
            <m:endChr m:val="]"/>
            <m:sepChr m:val=""/>
            <m:grow/>
          </m:dPr>
          <m:e>
            <m:r>
              <m:t>0.50</m:t>
            </m:r>
            <m:r>
              <m:rPr>
                <m:sty m:val="p"/>
              </m:rPr>
              <m:t>,</m:t>
            </m:r>
            <m:r>
              <m:t>0.3</m:t>
            </m:r>
            <m:r>
              <m:rPr>
                <m:sty m:val="p"/>
              </m:rPr>
              <m:t>,</m:t>
            </m:r>
            <m:r>
              <m:t>0.10</m:t>
            </m:r>
            <m:r>
              <m:rPr>
                <m:sty m:val="p"/>
              </m:rPr>
              <m:t>,</m:t>
            </m:r>
            <m:r>
              <m:t>0.10</m:t>
            </m:r>
          </m:e>
        </m:d>
      </m:oMath>
      <w:r>
        <w:t xml:space="preserve">. The final ensemble model combines the weak learners using their weights (</w:t>
      </w:r>
      <m:oMath>
        <m:r>
          <m:t>α</m:t>
        </m:r>
      </m:oMath>
      <w:r>
        <w:t xml:space="preserve">):</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sSub>
                <m:e>
                  <m:r>
                    <m:t>α</m:t>
                  </m:r>
                </m:e>
                <m:sub>
                  <m:r>
                    <m:t>1</m:t>
                  </m:r>
                </m:sub>
              </m:sSub>
              <m:r>
                <m:rPr>
                  <m:sty m:val="p"/>
                </m:rPr>
                <m:t>⋅</m:t>
              </m:r>
              <m:sSub>
                <m:e>
                  <m:r>
                    <m:t>h</m:t>
                  </m:r>
                </m:e>
                <m:sub>
                  <m:r>
                    <m:t>1</m:t>
                  </m:r>
                </m:sub>
              </m:sSub>
              <m:d>
                <m:dPr>
                  <m:begChr m:val="("/>
                  <m:endChr m:val=")"/>
                  <m:sepChr m:val=""/>
                  <m:grow/>
                </m:dPr>
                <m:e>
                  <m:r>
                    <m:t>x</m:t>
                  </m:r>
                </m:e>
              </m:d>
              <m:r>
                <m:rPr>
                  <m:sty m:val="p"/>
                </m:rPr>
                <m:t>+</m:t>
              </m:r>
              <m:sSub>
                <m:e>
                  <m:r>
                    <m:t>α</m:t>
                  </m:r>
                </m:e>
                <m:sub>
                  <m:r>
                    <m:t>2</m:t>
                  </m:r>
                </m:sub>
              </m:sSub>
              <m:r>
                <m:rPr>
                  <m:sty m:val="p"/>
                </m:rPr>
                <m:t>⋅</m:t>
              </m:r>
              <m:sSub>
                <m:e>
                  <m:r>
                    <m:t>h</m:t>
                  </m:r>
                </m:e>
                <m:sub>
                  <m:r>
                    <m:t>2</m:t>
                  </m:r>
                </m:sub>
              </m:sSub>
              <m:d>
                <m:dPr>
                  <m:begChr m:val="("/>
                  <m:endChr m:val=")"/>
                  <m:sepChr m:val=""/>
                  <m:grow/>
                </m:dPr>
                <m:e>
                  <m:r>
                    <m:t>x</m:t>
                  </m:r>
                </m:e>
              </m:d>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23" name="Picture"/>
            <a:graphic>
              <a:graphicData uri="http://schemas.openxmlformats.org/drawingml/2006/picture">
                <pic:pic>
                  <pic:nvPicPr>
                    <pic:cNvPr descr="index_files/figure-docx/cell-2-output-1.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26" name="Picture"/>
            <a:graphic>
              <a:graphicData uri="http://schemas.openxmlformats.org/drawingml/2006/picture">
                <pic:pic>
                  <pic:nvPicPr>
                    <pic:cNvPr descr="index_files/figure-docx/cell-2-output-2.png" id="27" name="Picture"/>
                    <pic:cNvPicPr>
                      <a:picLocks noChangeArrowheads="1" noChangeAspect="1"/>
                    </pic:cNvPicPr>
                  </pic:nvPicPr>
                  <pic:blipFill>
                    <a:blip r:embed="rId25"/>
                    <a:stretch>
                      <a:fillRect/>
                    </a:stretch>
                  </pic:blipFill>
                  <pic:spPr bwMode="auto">
                    <a:xfrm>
                      <a:off x="0" y="0"/>
                      <a:ext cx="5334000" cy="4157382"/>
                    </a:xfrm>
                    <a:prstGeom prst="rect">
                      <a:avLst/>
                    </a:prstGeom>
                    <a:noFill/>
                    <a:ln w="9525">
                      <a:noFill/>
                      <a:headEnd/>
                      <a:tailEnd/>
                    </a:ln>
                  </pic:spPr>
                </pic:pic>
              </a:graphicData>
            </a:graphic>
          </wp:inline>
        </w:drawing>
      </w:r>
    </w:p>
    <w:bookmarkEnd w:id="28"/>
    <w:bookmarkEnd w:id="29"/>
    <w:bookmarkEnd w:id="30"/>
    <w:bookmarkStart w:id="31"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d>
                <m:dPr>
                  <m:begChr m:val="("/>
                  <m:endChr m:val=")"/>
                  <m:sepChr m:val=""/>
                  <m:grow/>
                </m:dPr>
                <m:e>
                  <m:r>
                    <m:t>x</m:t>
                  </m:r>
                </m:e>
              </m:d>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ty m:val="p"/>
                        <m:scr m:val="double-struck"/>
                      </m:rPr>
                      <m:t>1</m:t>
                    </m:r>
                    <m:d>
                      <m:dPr>
                        <m:begChr m:val="("/>
                        <m:endChr m:val=")"/>
                        <m:sepChr m:val=""/>
                        <m:grow/>
                      </m:dPr>
                      <m:e>
                        <m:sSub>
                          <m:e>
                            <m:r>
                              <m:t>y</m:t>
                            </m:r>
                          </m:e>
                          <m:sub>
                            <m:r>
                              <m:t>i</m:t>
                            </m:r>
                          </m:sub>
                        </m:sSub>
                        <m:r>
                          <m:rPr>
                            <m:sty m:val="p"/>
                          </m:rPr>
                          <m:t>≠</m:t>
                        </m:r>
                        <m:sSub>
                          <m:e>
                            <m:r>
                              <m:t>G</m:t>
                            </m:r>
                          </m:e>
                          <m:sub>
                            <m:r>
                              <m:t>m</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endChr m:val=")"/>
                  <m:sep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endChr m:val=")"/>
                      <m:sepChr m:val=""/>
                      <m:grow/>
                    </m:dPr>
                    <m:e>
                      <m:r>
                        <m:t>x</m:t>
                      </m:r>
                    </m:e>
                  </m:d>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31"/>
    <w:bookmarkStart w:id="33"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32" w:name="fb-root"/>
    <w:bookmarkEnd w:id="32"/>
    <w:p>
      <w:pPr>
        <w:pStyle w:val="BodyText"/>
      </w:pPr>
      <w:r>
        <w:rPr>
          <w:b/>
          <w:bCs/>
        </w:rPr>
        <w:t xml:space="preserve">You may also like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2025-01-25T12:33:55Z</dcterms:created>
  <dcterms:modified xsi:type="dcterms:W3CDTF">2025-01-25T12:33:55Z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header-includes">
    <vt:lpwstr/>
  </property>
  <property fmtid="{D5CDD505-2E9C-101B-9397-08002B2CF9AE}" pid="10" name="image">
    <vt:lpwstr>ada1.png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