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4D9" w:rsidRDefault="00395651">
      <w:r>
        <w:rPr>
          <w:noProof/>
          <w:lang w:eastAsia="de-CH"/>
        </w:rPr>
        <w:drawing>
          <wp:inline distT="0" distB="0" distL="0" distR="0" wp14:anchorId="5B9746C1" wp14:editId="4FCF747B">
            <wp:extent cx="9072245" cy="49993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51" w:rsidRDefault="00395651">
      <w:r>
        <w:t>Zwei Modelle – zwei Ladungskurven</w:t>
      </w:r>
      <w:bookmarkStart w:id="0" w:name="_GoBack"/>
      <w:bookmarkEnd w:id="0"/>
    </w:p>
    <w:sectPr w:rsidR="00395651" w:rsidSect="00395651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51"/>
    <w:rsid w:val="00395651"/>
    <w:rsid w:val="00F9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990A54C-FCC6-4BD0-94BE-BCFE6F5D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32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Georgiou</dc:creator>
  <cp:keywords/>
  <dc:description/>
  <cp:lastModifiedBy>Rémi Georgiou</cp:lastModifiedBy>
  <cp:revision>1</cp:revision>
  <dcterms:created xsi:type="dcterms:W3CDTF">2014-11-30T16:35:00Z</dcterms:created>
  <dcterms:modified xsi:type="dcterms:W3CDTF">2014-11-30T16:41:00Z</dcterms:modified>
</cp:coreProperties>
</file>