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lk-03-klassen-objekte-und-schlüssel"/>
    <w:p>
      <w:pPr>
        <w:pStyle w:val="Heading1"/>
      </w:pPr>
      <w:r>
        <w:t xml:space="preserve">LK 03: Klassen Objekte und Schlüssel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2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Welches Feld eignet sich am besten als Primärschlüssel?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Warum ist ein Standname als Primärschlüssel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0"/>
    <w:bookmarkStart w:id="51" w:name="aufgabe-2-1-p-3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2"/>
    <w:bookmarkStart w:id="53" w:name="aufgabe-4-3-p-1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lk-04-beziehungen-und-datenbankschema"/>
    <w:p>
      <w:pPr>
        <w:pStyle w:val="Heading1"/>
      </w:pPr>
      <w:r>
        <w:t xml:space="preserve">LK 04: Beziehungen und Datenbankschema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Wo steht bei einer 1:n-Beziehung normalerweise der Fremdschlüssel?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sollten Raumdaten nicht bei jedem Programmpunkt wiederholt werden?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auf der n-Seite.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den Primärschlüssel einer anderen Tabelle.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Wiederholungen erhöhen Aufwand und Fehlergefahr; eine Raumtabelle speichert sie einmal.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2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3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4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5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6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7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2026-08-17T18:22:24Z</dcterms:created>
  <dcterms:modified xsi:type="dcterms:W3CDTF">2026-08-17T18:22:24Z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