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 der digitalen Welt</w:t>
      </w:r>
    </w:p>
    <w:p>
      <w:pPr>
        <w:pStyle w:val="Subtitle"/>
      </w:pPr>
      <w:r>
        <w:t xml:space="preserve">Informatik · Klasse 7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7" w:name="quellen-00-geschichte-der-informatik"/>
    <w:p>
      <w:pPr>
        <w:pStyle w:val="Heading1"/>
      </w:pPr>
      <w:r>
        <w:t xml:space="preserve">Quellen – 00 Geschichte der Informatik</w:t>
      </w:r>
    </w:p>
    <w:p>
      <w:pPr>
        <w:pStyle w:val="FirstParagraph"/>
      </w:pPr>
      <w:r>
        <w:t xml:space="preserve">Die historischen Gruppenblätter sind als didaktisch reduzierte Sekundärtexte formuliert. Für die redaktionelle Prüfung und eine spätere Bebilderung sollten bevorzugt Museums-, Archiv- und wissenschaftsnahe Quellen verwendet werden.</w:t>
      </w:r>
    </w:p>
    <w:bookmarkStart w:id="20" w:name="pascal"/>
    <w:p>
      <w:pPr>
        <w:pStyle w:val="Heading2"/>
      </w:pPr>
      <w:r>
        <w:t xml:space="preserve">Pascal</w:t>
      </w:r>
    </w:p>
    <w:p>
      <w:pPr>
        <w:numPr>
          <w:ilvl w:val="0"/>
          <w:numId w:val="1001"/>
        </w:numPr>
        <w:pStyle w:val="Compact"/>
      </w:pPr>
      <w:r>
        <w:t xml:space="preserve">Encyclopaedia Britannica: Blaise Pascal</w:t>
      </w:r>
    </w:p>
    <w:p>
      <w:pPr>
        <w:numPr>
          <w:ilvl w:val="0"/>
          <w:numId w:val="1001"/>
        </w:numPr>
        <w:pStyle w:val="Compact"/>
      </w:pPr>
      <w:r>
        <w:t xml:space="preserve">Computer History Museum: historische Rechenmaschinen</w:t>
      </w:r>
    </w:p>
    <w:bookmarkEnd w:id="20"/>
    <w:bookmarkStart w:id="21" w:name="leibniz"/>
    <w:p>
      <w:pPr>
        <w:pStyle w:val="Heading2"/>
      </w:pPr>
      <w:r>
        <w:t xml:space="preserve">Leibniz</w:t>
      </w:r>
    </w:p>
    <w:p>
      <w:pPr>
        <w:numPr>
          <w:ilvl w:val="0"/>
          <w:numId w:val="1002"/>
        </w:numPr>
        <w:pStyle w:val="Compact"/>
      </w:pPr>
      <w:r>
        <w:t xml:space="preserve">Leibniz-Institut / Gottfried Wilhelm Leibniz Bibliothek: Materialien zu Leibniz</w:t>
      </w:r>
    </w:p>
    <w:p>
      <w:pPr>
        <w:numPr>
          <w:ilvl w:val="0"/>
          <w:numId w:val="1002"/>
        </w:numPr>
        <w:pStyle w:val="Compact"/>
      </w:pPr>
      <w:r>
        <w:t xml:space="preserve">Encyclopaedia Britannica: Gottfried Wilhelm Leibniz</w:t>
      </w:r>
    </w:p>
    <w:p>
      <w:pPr>
        <w:pStyle w:val="FirstParagraph"/>
      </w:pPr>
      <w:r>
        <w:t xml:space="preserve">Hinweis: Das Binärsystem nicht verkürzt als alleinige „Erfindung von Leibniz“ darstellen. Im Material wird deshalb formuliert, dass er es systematisch beschrieb und untersuchte.</w:t>
      </w:r>
    </w:p>
    <w:bookmarkEnd w:id="21"/>
    <w:bookmarkStart w:id="22" w:name="babbage-und-lovelace"/>
    <w:p>
      <w:pPr>
        <w:pStyle w:val="Heading2"/>
      </w:pPr>
      <w:r>
        <w:t xml:space="preserve">Babbage und Lovelace</w:t>
      </w:r>
    </w:p>
    <w:p>
      <w:pPr>
        <w:numPr>
          <w:ilvl w:val="0"/>
          <w:numId w:val="1003"/>
        </w:numPr>
        <w:pStyle w:val="Compact"/>
      </w:pPr>
      <w:r>
        <w:t xml:space="preserve">Science Museum, London: Charles Babbage / Difference Engine / Analytical Engine</w:t>
      </w:r>
    </w:p>
    <w:p>
      <w:pPr>
        <w:numPr>
          <w:ilvl w:val="0"/>
          <w:numId w:val="1003"/>
        </w:numPr>
        <w:pStyle w:val="Compact"/>
      </w:pPr>
      <w:r>
        <w:t xml:space="preserve">Computer History Museum: Charles Babbage und Ada Lovelace</w:t>
      </w:r>
    </w:p>
    <w:p>
      <w:pPr>
        <w:pStyle w:val="FirstParagraph"/>
      </w:pPr>
      <w:r>
        <w:t xml:space="preserve">Hinweis: Die Bezeichnung „erste Programmiererin“ wird in der Fachgeschichte diskutiert. Im Material wird sie deshalb als häufig verwendete Einordnung kenntlich gemacht.</w:t>
      </w:r>
    </w:p>
    <w:bookmarkEnd w:id="22"/>
    <w:bookmarkStart w:id="23" w:name="hollerith"/>
    <w:p>
      <w:pPr>
        <w:pStyle w:val="Heading2"/>
      </w:pPr>
      <w:r>
        <w:t xml:space="preserve">Hollerith</w:t>
      </w:r>
    </w:p>
    <w:p>
      <w:pPr>
        <w:numPr>
          <w:ilvl w:val="0"/>
          <w:numId w:val="1004"/>
        </w:numPr>
        <w:pStyle w:val="Compact"/>
      </w:pPr>
      <w:r>
        <w:t xml:space="preserve">U.S. Census Bureau: Herman Hollerith und die maschinelle Volkszählung</w:t>
      </w:r>
    </w:p>
    <w:p>
      <w:pPr>
        <w:numPr>
          <w:ilvl w:val="0"/>
          <w:numId w:val="1004"/>
        </w:numPr>
        <w:pStyle w:val="Compact"/>
      </w:pPr>
      <w:r>
        <w:t xml:space="preserve">Smithsonian Institution: Hollerith punched-card equipment</w:t>
      </w:r>
    </w:p>
    <w:bookmarkEnd w:id="23"/>
    <w:bookmarkStart w:id="24" w:name="zuse"/>
    <w:p>
      <w:pPr>
        <w:pStyle w:val="Heading2"/>
      </w:pPr>
      <w:r>
        <w:t xml:space="preserve">Zuse</w:t>
      </w:r>
    </w:p>
    <w:p>
      <w:pPr>
        <w:numPr>
          <w:ilvl w:val="0"/>
          <w:numId w:val="1005"/>
        </w:numPr>
        <w:pStyle w:val="Compact"/>
      </w:pPr>
      <w:r>
        <w:t xml:space="preserve">Deutsches Technikmuseum: Konrad Zuse und Z3</w:t>
      </w:r>
    </w:p>
    <w:p>
      <w:pPr>
        <w:numPr>
          <w:ilvl w:val="0"/>
          <w:numId w:val="1005"/>
        </w:numPr>
        <w:pStyle w:val="Compact"/>
      </w:pPr>
      <w:r>
        <w:t xml:space="preserve">Deutsches Museum: frühe Rechentechnik</w:t>
      </w:r>
    </w:p>
    <w:p>
      <w:pPr>
        <w:pStyle w:val="FirstParagraph"/>
      </w:pPr>
      <w:r>
        <w:t xml:space="preserve">Hinweis: Aussagen wie „erster Computer der Welt“ vermeiden. Die Z3 wird als bedeutender Meilenstein beschrieben.</w:t>
      </w:r>
    </w:p>
    <w:bookmarkEnd w:id="24"/>
    <w:bookmarkStart w:id="25" w:name="von-neumann"/>
    <w:p>
      <w:pPr>
        <w:pStyle w:val="Heading2"/>
      </w:pPr>
      <w:r>
        <w:t xml:space="preserve">von Neumann</w:t>
      </w:r>
    </w:p>
    <w:p>
      <w:pPr>
        <w:numPr>
          <w:ilvl w:val="0"/>
          <w:numId w:val="1006"/>
        </w:numPr>
        <w:pStyle w:val="Compact"/>
      </w:pPr>
      <w:r>
        <w:t xml:space="preserve">Institute for Advanced Study: John von Neumann</w:t>
      </w:r>
    </w:p>
    <w:p>
      <w:pPr>
        <w:numPr>
          <w:ilvl w:val="0"/>
          <w:numId w:val="1006"/>
        </w:numPr>
        <w:pStyle w:val="Compact"/>
      </w:pPr>
      <w:r>
        <w:t xml:space="preserve">Computer History Museum: stored-program computing</w:t>
      </w:r>
    </w:p>
    <w:p>
      <w:pPr>
        <w:pStyle w:val="FirstParagraph"/>
      </w:pPr>
      <w:r>
        <w:t xml:space="preserve">Hinweis: Die Stored-Program-Architektur ist Ergebnis mehrerer Beteiligter. Eine alleinige Zuschreibung an von Neumann wäre historisch zu stark vereinfacht.</w:t>
      </w:r>
    </w:p>
    <w:bookmarkEnd w:id="25"/>
    <w:bookmarkStart w:id="26" w:name="redaktionelle-regel"/>
    <w:p>
      <w:pPr>
        <w:pStyle w:val="Heading2"/>
      </w:pPr>
      <w:r>
        <w:t xml:space="preserve">Redaktionelle Regel</w:t>
      </w:r>
    </w:p>
    <w:p>
      <w:pPr>
        <w:pStyle w:val="FirstParagraph"/>
      </w:pPr>
      <w:r>
        <w:t xml:space="preserve">Geschichte ist in Klasse 7</w:t>
      </w:r>
      <w:r>
        <w:t xml:space="preserve"> </w:t>
      </w:r>
      <w:r>
        <w:rPr>
          <w:bCs/>
          <w:b/>
        </w:rPr>
        <w:t xml:space="preserve">Einstieg und Orientierung</w:t>
      </w:r>
      <w:r>
        <w:t xml:space="preserve">, kein Faktenkatalog für Leistungskontrollen. Quellen dienen insbesondere dazu, Aussagen und Bildrechte vor Veröffentlichung zu prüfen.</w:t>
      </w:r>
    </w:p>
    <w:p>
      <w:r>
        <w:br w:type="page"/>
      </w:r>
    </w:p>
    <w:bookmarkEnd w:id="26"/>
    <w:bookmarkEnd w:id="27"/>
    <w:bookmarkStart w:id="30" w:name="Xf4d0fa0f8d9c9c7780f55e660d6944c418e9c10"/>
    <w:p>
      <w:pPr>
        <w:pStyle w:val="Heading1"/>
      </w:pPr>
      <w:r>
        <w:t xml:space="preserve">Quellen – Kann man eine Sprache nur aus 0 und 1 schreiben?</w:t>
      </w:r>
    </w:p>
    <w:bookmarkStart w:id="28" w:name="fachliche-grundlagen"/>
    <w:p>
      <w:pPr>
        <w:pStyle w:val="Heading2"/>
      </w:pPr>
      <w:r>
        <w:t xml:space="preserve">Fachliche Grundlagen</w:t>
      </w:r>
    </w:p>
    <w:p>
      <w:pPr>
        <w:numPr>
          <w:ilvl w:val="0"/>
          <w:numId w:val="1007"/>
        </w:numPr>
        <w:pStyle w:val="Compact"/>
      </w:pPr>
      <w:r>
        <w:t xml:space="preserve">National Institute of Standards and Technology (NIST), CSRC Glossary:</w:t>
      </w:r>
      <w:r>
        <w:t xml:space="preserve"> </w:t>
      </w:r>
      <w:r>
        <w:rPr>
          <w:bCs/>
          <w:b/>
        </w:rPr>
        <w:t xml:space="preserve">bit</w:t>
      </w:r>
      <w:r>
        <w:t xml:space="preserve"> </w:t>
      </w:r>
      <w:r>
        <w:t xml:space="preserve">– Definition als binäre Ziffer mit dem Wert 0 oder 1.</w:t>
      </w:r>
    </w:p>
    <w:p>
      <w:pPr>
        <w:numPr>
          <w:ilvl w:val="0"/>
          <w:numId w:val="1007"/>
        </w:numPr>
        <w:pStyle w:val="Compact"/>
      </w:pPr>
      <w:r>
        <w:t xml:space="preserve">National Institute of Standards and Technology (NIST), CSRC Glossary:</w:t>
      </w:r>
      <w:r>
        <w:t xml:space="preserve"> </w:t>
      </w:r>
      <w:r>
        <w:rPr>
          <w:bCs/>
          <w:b/>
        </w:rPr>
        <w:t xml:space="preserve">bit string</w:t>
      </w:r>
      <w:r>
        <w:t xml:space="preserve"> </w:t>
      </w:r>
      <w:r>
        <w:t xml:space="preserve">– geordnete Folge von Nullen und Einsen.</w:t>
      </w:r>
    </w:p>
    <w:p>
      <w:pPr>
        <w:numPr>
          <w:ilvl w:val="0"/>
          <w:numId w:val="1007"/>
        </w:numPr>
        <w:pStyle w:val="Compact"/>
      </w:pPr>
      <w:r>
        <w:t xml:space="preserve">The Unicode Consortium:</w:t>
      </w:r>
      <w:r>
        <w:t xml:space="preserve"> </w:t>
      </w:r>
      <w:r>
        <w:rPr>
          <w:bCs/>
          <w:b/>
        </w:rPr>
        <w:t xml:space="preserve">Technical Introduction</w:t>
      </w:r>
      <w:r>
        <w:t xml:space="preserve"> </w:t>
      </w:r>
      <w:r>
        <w:t xml:space="preserve">– Zeichen besitzen Codepunkte und werden durch definierte Codierungsformen als Bits bzw. Bytes dargestellt.</w:t>
      </w:r>
    </w:p>
    <w:bookmarkEnd w:id="28"/>
    <w:bookmarkStart w:id="29" w:name="didaktische-hinweise"/>
    <w:p>
      <w:pPr>
        <w:pStyle w:val="Heading2"/>
      </w:pPr>
      <w:r>
        <w:t xml:space="preserve">Didaktische Hinweise</w:t>
      </w:r>
    </w:p>
    <w:p>
      <w:pPr>
        <w:pStyle w:val="FirstParagraph"/>
      </w:pPr>
      <w:r>
        <w:t xml:space="preserve">Für Klasse 7 wird bewusst modellhaft von</w:t>
      </w:r>
      <w:r>
        <w:t xml:space="preserve"> </w:t>
      </w:r>
      <w:r>
        <w:rPr>
          <w:bCs/>
          <w:b/>
        </w:rPr>
        <w:t xml:space="preserve">zwei unterscheidbaren Zuständen</w:t>
      </w:r>
      <w:r>
        <w:t xml:space="preserve"> </w:t>
      </w:r>
      <w:r>
        <w:t xml:space="preserve">gesprochen. Die technische Realisierung elektronischer Logik wird nicht auf die vereinfachte Gleichsetzung</w:t>
      </w:r>
      <w:r>
        <w:t xml:space="preserve"> </w:t>
      </w:r>
      <w:r>
        <w:rPr>
          <w:rStyle w:val="VerbatimChar"/>
        </w:rPr>
        <w:t xml:space="preserve">0 = kein Strom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 = Strom</w:t>
      </w:r>
      <w:r>
        <w:t xml:space="preserve"> </w:t>
      </w:r>
      <w:r>
        <w:t xml:space="preserve">reduziert.</w:t>
      </w:r>
    </w:p>
    <w:p>
      <w:pPr>
        <w:pStyle w:val="BodyText"/>
      </w:pPr>
      <w:r>
        <w:t xml:space="preserve">Die konkrete Zeichencodierung (ASCII/Unicode/UTF-8) wird erst in einer späteren Unterrichtseinheit behandelt. Die Bitfolge im Einstieg dient hier ausschließlich dazu, das Prinzip einer vereinbarten Interpretation zu motivieren.</w:t>
      </w:r>
    </w:p>
    <w:p>
      <w:r>
        <w:br w:type="page"/>
      </w:r>
    </w:p>
    <w:bookmarkEnd w:id="29"/>
    <w:bookmarkEnd w:id="30"/>
    <w:bookmarkStart w:id="34" w:name="quellen-binärzahlen"/>
    <w:p>
      <w:pPr>
        <w:pStyle w:val="Heading1"/>
      </w:pPr>
      <w:r>
        <w:t xml:space="preserve">Quellen – Binärzahlen</w:t>
      </w:r>
    </w:p>
    <w:bookmarkStart w:id="31" w:name="fachliche-grundlagen-1"/>
    <w:p>
      <w:pPr>
        <w:pStyle w:val="Heading2"/>
      </w:pPr>
      <w:r>
        <w:t xml:space="preserve">Fachliche Grundlagen</w:t>
      </w:r>
    </w:p>
    <w:p>
      <w:pPr>
        <w:numPr>
          <w:ilvl w:val="0"/>
          <w:numId w:val="1008"/>
        </w:numPr>
        <w:pStyle w:val="Compact"/>
      </w:pPr>
      <w:r>
        <w:t xml:space="preserve">Grundlagen zu Stellenwertsystemen und Binärdarstellung</w:t>
      </w:r>
    </w:p>
    <w:p>
      <w:pPr>
        <w:numPr>
          <w:ilvl w:val="0"/>
          <w:numId w:val="1008"/>
        </w:numPr>
        <w:pStyle w:val="Compact"/>
      </w:pPr>
      <w:r>
        <w:t xml:space="preserve">Potenzen zur Beschreibung binärer Stellenwerte</w:t>
      </w:r>
    </w:p>
    <w:bookmarkEnd w:id="31"/>
    <w:bookmarkStart w:id="32" w:name="didaktische-festlegung"/>
    <w:p>
      <w:pPr>
        <w:pStyle w:val="Heading2"/>
      </w:pPr>
      <w:r>
        <w:t xml:space="preserve">Didaktische Festlegung</w:t>
      </w:r>
    </w:p>
    <w:p>
      <w:pPr>
        <w:pStyle w:val="FirstParagraph"/>
      </w:pPr>
      <w:r>
        <w:t xml:space="preserve">In Klasse 7 werden zwei Verfahren verwendet:</w:t>
      </w:r>
    </w:p>
    <w:p>
      <w:pPr>
        <w:numPr>
          <w:ilvl w:val="0"/>
          <w:numId w:val="1009"/>
        </w:numPr>
        <w:pStyle w:val="Compact"/>
      </w:pPr>
      <w:r>
        <w:t xml:space="preserve">Zerlegung einer Dezimalzahl in Zweierpotenzen</w:t>
      </w:r>
    </w:p>
    <w:p>
      <w:pPr>
        <w:numPr>
          <w:ilvl w:val="0"/>
          <w:numId w:val="1009"/>
        </w:numPr>
        <w:pStyle w:val="Compact"/>
      </w:pPr>
      <w:r>
        <w:t xml:space="preserve">wiederholte Division durch 2 mit Rest</w:t>
      </w:r>
    </w:p>
    <w:p>
      <w:pPr>
        <w:pStyle w:val="FirstParagraph"/>
      </w:pPr>
      <w:r>
        <w:t xml:space="preserve">Die Lernenden sollen beide Verfahren kennenlernen. Eine formale Vertiefung in Zahlensystemtheorie ist nicht vorgesehen.</w:t>
      </w:r>
    </w:p>
    <w:bookmarkEnd w:id="32"/>
    <w:bookmarkStart w:id="33" w:name="redaktioneller-hinweis"/>
    <w:p>
      <w:pPr>
        <w:pStyle w:val="Heading2"/>
      </w:pPr>
      <w:r>
        <w:t xml:space="preserve">Redaktioneller Hinweis</w:t>
      </w:r>
    </w:p>
    <w:p>
      <w:pPr>
        <w:pStyle w:val="FirstParagraph"/>
      </w:pPr>
      <w:r>
        <w:t xml:space="preserve">Beispiele und Aufgaben sind eigenständig erstellt. Für spätere Bildmaterialien sind nur frei nutzbare bzw. selbst erstellte Darstellungen zu verwenden.</w:t>
      </w:r>
    </w:p>
    <w:p>
      <w:r>
        <w:br w:type="page"/>
      </w:r>
    </w:p>
    <w:bookmarkEnd w:id="33"/>
    <w:bookmarkEnd w:id="34"/>
    <w:bookmarkStart w:id="38" w:name="quellen-03-texte-im-computer"/>
    <w:p>
      <w:pPr>
        <w:pStyle w:val="Heading1"/>
      </w:pPr>
      <w:r>
        <w:t xml:space="preserve">Quellen – 03 Texte im Computer</w:t>
      </w:r>
    </w:p>
    <w:bookmarkStart w:id="35" w:name="fachliche-referenzen"/>
    <w:p>
      <w:pPr>
        <w:pStyle w:val="Heading2"/>
      </w:pPr>
      <w:r>
        <w:t xml:space="preserve">Fachliche Referenzen</w:t>
      </w:r>
    </w:p>
    <w:p>
      <w:pPr>
        <w:numPr>
          <w:ilvl w:val="0"/>
          <w:numId w:val="1010"/>
        </w:numPr>
        <w:pStyle w:val="Compact"/>
      </w:pPr>
      <w:r>
        <w:t xml:space="preserve">The Unicode Consortium: Unicode Standard und Code Charts</w:t>
      </w:r>
    </w:p>
    <w:p>
      <w:pPr>
        <w:numPr>
          <w:ilvl w:val="0"/>
          <w:numId w:val="1010"/>
        </w:numPr>
        <w:pStyle w:val="Compact"/>
      </w:pPr>
      <w:r>
        <w:t xml:space="preserve">RFC 3629: UTF-8, a transformation format of ISO 10646</w:t>
      </w:r>
    </w:p>
    <w:p>
      <w:pPr>
        <w:numPr>
          <w:ilvl w:val="0"/>
          <w:numId w:val="1010"/>
        </w:numPr>
        <w:pStyle w:val="Compact"/>
      </w:pPr>
      <w:r>
        <w:t xml:space="preserve">ANSI X3.4 / ASCII als historischer Standard für Zeichenkodierung</w:t>
      </w:r>
    </w:p>
    <w:bookmarkEnd w:id="35"/>
    <w:bookmarkStart w:id="36" w:name="didaktische-reduktion"/>
    <w:p>
      <w:pPr>
        <w:pStyle w:val="Heading2"/>
      </w:pPr>
      <w:r>
        <w:t xml:space="preserve">Didaktische Reduktion</w:t>
      </w:r>
    </w:p>
    <w:p>
      <w:pPr>
        <w:pStyle w:val="FirstParagraph"/>
      </w:pPr>
      <w:r>
        <w:t xml:space="preserve">Für Klasse 7 wird bewusst unterschieden zwischen: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Zeichencodierung</w:t>
      </w:r>
      <w:r>
        <w:t xml:space="preserve">: Zuordnung von Zeichen zu Zahlen,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Unicode</w:t>
      </w:r>
      <w:r>
        <w:t xml:space="preserve">: universeller Zeichenvorrat mit Codepunkten,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UTF-8</w:t>
      </w:r>
      <w:r>
        <w:t xml:space="preserve">: konkrete Codierung dieser Codepunkte in Bytes.</w:t>
      </w:r>
    </w:p>
    <w:p>
      <w:pPr>
        <w:pStyle w:val="FirstParagraph"/>
      </w:pPr>
      <w:r>
        <w:t xml:space="preserve">Die interne Bitstruktur von UTF-8 ist nicht Bestandteil der Stunde.</w:t>
      </w:r>
    </w:p>
    <w:bookmarkEnd w:id="36"/>
    <w:bookmarkStart w:id="37" w:name="hinweise"/>
    <w:p>
      <w:pPr>
        <w:pStyle w:val="Heading2"/>
      </w:pPr>
      <w:r>
        <w:t xml:space="preserve">Hinweise</w:t>
      </w:r>
    </w:p>
    <w:p>
      <w:pPr>
        <w:pStyle w:val="FirstParagraph"/>
      </w:pPr>
      <w:r>
        <w:t xml:space="preserve">Konkrete ASCII-Zahlenwerte dienen nur als Beispiele und müssen nicht auswendig gelernt werden. Zentral ist das Prinzip:</w:t>
      </w:r>
    </w:p>
    <w:p>
      <w:pPr>
        <w:pStyle w:val="SourceCode"/>
      </w:pPr>
      <w:r>
        <w:rPr>
          <w:rStyle w:val="VerbatimChar"/>
        </w:rPr>
        <w:t xml:space="preserve">Zeichen → Zahl → Binärdarstellung → Bits</w:t>
      </w:r>
    </w:p>
    <w:p>
      <w:pPr>
        <w:pStyle w:val="FirstParagraph"/>
      </w:pPr>
      <w:r>
        <w:t xml:space="preserve">Die Angabe zum typischen UTF-8-Speicherbedarf (</w:t>
      </w:r>
      <w:r>
        <w:rPr>
          <w:rStyle w:val="VerbatimChar"/>
        </w:rPr>
        <w:t xml:space="preserve">A</w:t>
      </w:r>
      <w:r>
        <w:t xml:space="preserve"> </w:t>
      </w:r>
      <w:r>
        <w:t xml:space="preserve">1 Byte,</w:t>
      </w:r>
      <w:r>
        <w:t xml:space="preserve"> </w:t>
      </w:r>
      <w:r>
        <w:rPr>
          <w:rStyle w:val="VerbatimChar"/>
        </w:rPr>
        <w:t xml:space="preserve">ä</w:t>
      </w:r>
      <w:r>
        <w:t xml:space="preserve"> </w:t>
      </w:r>
      <w:r>
        <w:t xml:space="preserve">2 Byte,</w:t>
      </w:r>
      <w:r>
        <w:t xml:space="preserve"> </w:t>
      </w:r>
      <w:r>
        <w:rPr>
          <w:rStyle w:val="VerbatimChar"/>
        </w:rPr>
        <w:t xml:space="preserve">€</w:t>
      </w:r>
      <w:r>
        <w:t xml:space="preserve"> </w:t>
      </w:r>
      <w:r>
        <w:t xml:space="preserve">3 Byte,</w:t>
      </w:r>
      <w:r>
        <w:t xml:space="preserve"> </w:t>
      </w:r>
      <w:r>
        <w:rPr>
          <w:rStyle w:val="VerbatimChar"/>
        </w:rPr>
        <w:t xml:space="preserve">😊</w:t>
      </w:r>
      <w:r>
        <w:t xml:space="preserve"> </w:t>
      </w:r>
      <w:r>
        <w:t xml:space="preserve">4 Byte) dient der Veranschaulichung unterschiedlich langer Codierungen.</w:t>
      </w:r>
    </w:p>
    <w:p>
      <w:r>
        <w:br w:type="page"/>
      </w:r>
    </w:p>
    <w:bookmarkEnd w:id="37"/>
    <w:bookmarkEnd w:id="38"/>
    <w:bookmarkStart w:id="42" w:name="quellen-04-bilder-im-computer"/>
    <w:p>
      <w:pPr>
        <w:pStyle w:val="Heading1"/>
      </w:pPr>
      <w:r>
        <w:t xml:space="preserve">Quellen – 04 Bilder im Computer</w:t>
      </w:r>
    </w:p>
    <w:bookmarkStart w:id="39" w:name="fachliche-grundlagen-2"/>
    <w:p>
      <w:pPr>
        <w:pStyle w:val="Heading2"/>
      </w:pPr>
      <w:r>
        <w:t xml:space="preserve">Fachliche Grundlagen</w:t>
      </w:r>
    </w:p>
    <w:p>
      <w:pPr>
        <w:numPr>
          <w:ilvl w:val="0"/>
          <w:numId w:val="1012"/>
        </w:numPr>
        <w:pStyle w:val="Compact"/>
      </w:pPr>
      <w:r>
        <w:t xml:space="preserve">W3C: SVG – Scalable Vector Graphics. Grundlage zur Unterscheidung vektorbasierter Darstellungen.</w:t>
      </w:r>
    </w:p>
    <w:p>
      <w:pPr>
        <w:numPr>
          <w:ilvl w:val="0"/>
          <w:numId w:val="1012"/>
        </w:numPr>
        <w:pStyle w:val="Compact"/>
      </w:pPr>
      <w:r>
        <w:t xml:space="preserve">WHATWG / HTML Living Standard: Grundlagen zu RGB-Farbwerten in digitalen Darstellungen.</w:t>
      </w:r>
    </w:p>
    <w:p>
      <w:pPr>
        <w:numPr>
          <w:ilvl w:val="0"/>
          <w:numId w:val="1012"/>
        </w:numPr>
        <w:pStyle w:val="Compact"/>
      </w:pPr>
      <w:r>
        <w:t xml:space="preserve">Wikipedia-Artikel können zur schnellen Orientierung dienen, sollen aber nicht die primäre fachliche Quelle für Lehrmaterialien sein.</w:t>
      </w:r>
    </w:p>
    <w:bookmarkEnd w:id="39"/>
    <w:bookmarkStart w:id="40" w:name="didaktische-reduktion-1"/>
    <w:p>
      <w:pPr>
        <w:pStyle w:val="Heading2"/>
      </w:pPr>
      <w:r>
        <w:t xml:space="preserve">Didaktische Reduktion</w:t>
      </w:r>
    </w:p>
    <w:p>
      <w:pPr>
        <w:pStyle w:val="FirstParagraph"/>
      </w:pPr>
      <w:r>
        <w:t xml:space="preserve">Für Klasse 7 wird bewusst vereinfacht:</w:t>
      </w:r>
    </w:p>
    <w:p>
      <w:pPr>
        <w:numPr>
          <w:ilvl w:val="0"/>
          <w:numId w:val="1013"/>
        </w:numPr>
        <w:pStyle w:val="Compact"/>
      </w:pPr>
      <w:r>
        <w:t xml:space="preserve">Rasterbilder werden als Pixelmatrix eingeführt.</w:t>
      </w:r>
    </w:p>
    <w:p>
      <w:pPr>
        <w:numPr>
          <w:ilvl w:val="0"/>
          <w:numId w:val="1013"/>
        </w:numPr>
        <w:pStyle w:val="Compact"/>
      </w:pPr>
      <w:r>
        <w:t xml:space="preserve">RGB wird mit 8 Bit pro Kanal und Werten von 0 bis 255 behandelt.</w:t>
      </w:r>
    </w:p>
    <w:p>
      <w:pPr>
        <w:numPr>
          <w:ilvl w:val="0"/>
          <w:numId w:val="1013"/>
        </w:numPr>
        <w:pStyle w:val="Compact"/>
      </w:pPr>
      <w:r>
        <w:t xml:space="preserve">Der Speicherbedarf wird zunächst unkomprimiert berechnet.</w:t>
      </w:r>
    </w:p>
    <w:p>
      <w:pPr>
        <w:numPr>
          <w:ilvl w:val="0"/>
          <w:numId w:val="1013"/>
        </w:numPr>
        <w:pStyle w:val="Compact"/>
      </w:pPr>
      <w:r>
        <w:t xml:space="preserve">JPEG/PNG/GIF werden nur als Beispiele für Bildformate genannt.</w:t>
      </w:r>
    </w:p>
    <w:p>
      <w:pPr>
        <w:numPr>
          <w:ilvl w:val="0"/>
          <w:numId w:val="1013"/>
        </w:numPr>
        <w:pStyle w:val="Compact"/>
      </w:pPr>
      <w:r>
        <w:t xml:space="preserve">Konkrete Kompressionsalgorithmen, Farbprofile, Chroma-Subsampling und Alpha-Kanäle werden nicht vertieft.</w:t>
      </w:r>
    </w:p>
    <w:bookmarkEnd w:id="40"/>
    <w:bookmarkStart w:id="41" w:name="anschlusswissen"/>
    <w:p>
      <w:pPr>
        <w:pStyle w:val="Heading2"/>
      </w:pPr>
      <w:r>
        <w:t xml:space="preserve">Anschlusswissen</w:t>
      </w:r>
    </w:p>
    <w:p>
      <w:pPr>
        <w:pStyle w:val="FirstParagraph"/>
      </w:pPr>
      <w:r>
        <w:t xml:space="preserve">Die Stunde knüpft direkt an folgende Inhalte an:</w:t>
      </w:r>
    </w:p>
    <w:p>
      <w:pPr>
        <w:numPr>
          <w:ilvl w:val="0"/>
          <w:numId w:val="1014"/>
        </w:numPr>
        <w:pStyle w:val="Compact"/>
      </w:pPr>
      <w:r>
        <w:t xml:space="preserve">Binärzahlen und Zweierpotenzen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2⁸ = 256</w:t>
      </w:r>
    </w:p>
    <w:p>
      <w:pPr>
        <w:numPr>
          <w:ilvl w:val="0"/>
          <w:numId w:val="1014"/>
        </w:numPr>
        <w:pStyle w:val="Compact"/>
      </w:pPr>
      <w:r>
        <w:t xml:space="preserve">Bit und Byte</w:t>
      </w:r>
    </w:p>
    <w:p>
      <w:pPr>
        <w:numPr>
          <w:ilvl w:val="0"/>
          <w:numId w:val="1014"/>
        </w:numPr>
        <w:pStyle w:val="Compact"/>
      </w:pPr>
      <w:r>
        <w:t xml:space="preserve">Codierung von Zeichen</w:t>
      </w:r>
    </w:p>
    <w:p>
      <w:pPr>
        <w:pStyle w:val="FirstParagraph"/>
      </w:pPr>
      <w:r>
        <w:t xml:space="preserve">Der Ausblick bereitet die Digitalisierung von Audio durch Abtastung und Quantisierung vor.</w:t>
      </w:r>
    </w:p>
    <w:p>
      <w:r>
        <w:br w:type="page"/>
      </w:r>
    </w:p>
    <w:bookmarkEnd w:id="41"/>
    <w:bookmarkEnd w:id="42"/>
    <w:bookmarkStart w:id="44" w:name="quellen-04-musik-im-computer"/>
    <w:p>
      <w:pPr>
        <w:pStyle w:val="Heading1"/>
      </w:pPr>
      <w:r>
        <w:t xml:space="preserve">Quellen – 04 Musik im Computer</w:t>
      </w:r>
    </w:p>
    <w:p>
      <w:pPr>
        <w:pStyle w:val="FirstParagraph"/>
      </w:pPr>
      <w:r>
        <w:t xml:space="preserve">Für die fachliche Vertiefung und redaktionelle Prüfung eignen sich insbesondere:</w:t>
      </w:r>
    </w:p>
    <w:p>
      <w:pPr>
        <w:numPr>
          <w:ilvl w:val="0"/>
          <w:numId w:val="1015"/>
        </w:numPr>
        <w:pStyle w:val="Compact"/>
      </w:pPr>
      <w:r>
        <w:t xml:space="preserve">ITU-T: Grundlagen digitaler Sprach- und Audiosignale</w:t>
      </w:r>
    </w:p>
    <w:p>
      <w:pPr>
        <w:numPr>
          <w:ilvl w:val="0"/>
          <w:numId w:val="1015"/>
        </w:numPr>
        <w:pStyle w:val="Compact"/>
      </w:pPr>
      <w:r>
        <w:t xml:space="preserve">Fraunhofer IIS: Informationen zur MP3-Entwicklung und Audiocodierung</w:t>
      </w:r>
    </w:p>
    <w:p>
      <w:pPr>
        <w:numPr>
          <w:ilvl w:val="0"/>
          <w:numId w:val="1015"/>
        </w:numPr>
        <w:pStyle w:val="Compact"/>
      </w:pPr>
      <w:r>
        <w:t xml:space="preserve">MDN / Web Audio Dokumentation für weiterführende technische Einordnung</w:t>
      </w:r>
    </w:p>
    <w:bookmarkStart w:id="43" w:name="didaktische-reduktion-2"/>
    <w:p>
      <w:pPr>
        <w:pStyle w:val="Heading2"/>
      </w:pPr>
      <w:r>
        <w:t xml:space="preserve">Didaktische Reduktion</w:t>
      </w:r>
    </w:p>
    <w:p>
      <w:pPr>
        <w:pStyle w:val="FirstParagraph"/>
      </w:pPr>
      <w:r>
        <w:t xml:space="preserve">Für Klasse 7 werden Sampling-Theorem, Quantisierungsrauschen, Codecs und psychoakustische Modelle nicht mathematisch vertieft. Im Mittelpunkt stehen die Grundideen</w:t>
      </w:r>
      <w:r>
        <w:t xml:space="preserve"> </w:t>
      </w:r>
      <w:r>
        <w:rPr>
          <w:bCs/>
          <w:b/>
        </w:rPr>
        <w:t xml:space="preserve">Abtastung</w:t>
      </w:r>
      <w:r>
        <w:t xml:space="preserve">,</w:t>
      </w:r>
      <w:r>
        <w:t xml:space="preserve"> </w:t>
      </w:r>
      <w:r>
        <w:rPr>
          <w:bCs/>
          <w:b/>
        </w:rPr>
        <w:t xml:space="preserve">Bittiefe</w:t>
      </w:r>
      <w:r>
        <w:t xml:space="preserve">,</w:t>
      </w:r>
      <w:r>
        <w:t xml:space="preserve"> </w:t>
      </w:r>
      <w:r>
        <w:rPr>
          <w:bCs/>
          <w:b/>
        </w:rPr>
        <w:t xml:space="preserve">Kanäle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Speicherbedarf</w:t>
      </w:r>
      <w:r>
        <w:t xml:space="preserve">.</w:t>
      </w:r>
    </w:p>
    <w:p>
      <w:r>
        <w:br w:type="page"/>
      </w:r>
    </w:p>
    <w:bookmarkEnd w:id="43"/>
    <w:bookmarkEnd w:id="44"/>
    <w:bookmarkStart w:id="47" w:name="quellen-05-evas-prinzip"/>
    <w:p>
      <w:pPr>
        <w:pStyle w:val="Heading1"/>
      </w:pPr>
      <w:r>
        <w:t xml:space="preserve">Quellen – 05 EVAS-Prinzip</w:t>
      </w:r>
    </w:p>
    <w:bookmarkStart w:id="45" w:name="fachliche-einordnung"/>
    <w:p>
      <w:pPr>
        <w:pStyle w:val="Heading2"/>
      </w:pPr>
      <w:r>
        <w:t xml:space="preserve">Fachliche Einordnung</w:t>
      </w:r>
    </w:p>
    <w:p>
      <w:pPr>
        <w:pStyle w:val="FirstParagraph"/>
      </w:pPr>
      <w:r>
        <w:t xml:space="preserve">Das EVA-Prinzip ist ein didaktisches Modell zur Beschreibung von Informationsverarbeitung. Für die Speicherung wird im Lehrwerk bewusst</w:t>
      </w:r>
      <w:r>
        <w:t xml:space="preserve"> </w:t>
      </w:r>
      <w:r>
        <w:rPr>
          <w:bCs/>
          <w:b/>
        </w:rPr>
        <w:t xml:space="preserve">EVAS</w:t>
      </w:r>
      <w:r>
        <w:t xml:space="preserve"> </w:t>
      </w:r>
      <w:r>
        <w:t xml:space="preserve">verwendet, ohne Speicher als zwingend letzten linearen Schritt darzustellen.</w:t>
      </w:r>
    </w:p>
    <w:bookmarkEnd w:id="45"/>
    <w:bookmarkStart w:id="46" w:name="redaktionshinweis"/>
    <w:p>
      <w:pPr>
        <w:pStyle w:val="Heading2"/>
      </w:pPr>
      <w:r>
        <w:t xml:space="preserve">Redaktionshinweis</w:t>
      </w:r>
    </w:p>
    <w:p>
      <w:pPr>
        <w:pStyle w:val="FirstParagraph"/>
      </w:pPr>
      <w:r>
        <w:t xml:space="preserve">Die Unterrichtseinheit reduziert Hardwaredetails bewusst. Im Mittelpunkt stehen Informationsflüsse und die Frage, welche Informationen eingegeben, verarbeitet, ausgegeben und gespeichert werden.</w:t>
      </w:r>
    </w:p>
    <w:p>
      <w:pPr>
        <w:pStyle w:val="BodyText"/>
      </w:pPr>
      <w:r>
        <w:t xml:space="preserve">Die bewertete Präsentationsaufgabe basiert auf der im Unterricht verwendeten Aufgabenstellung und wurde für das Lehrwerk um ein transparentes Bewertungsraster und einen Zuhörerbogen ergänzt.</w:t>
      </w:r>
    </w:p>
    <w:bookmarkEnd w:id="46"/>
    <w:bookmarkEnd w:id="4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 der digitalen Welt</dc:title>
  <dc:creator/>
  <dc:language>de-DE</dc:language>
  <cp:keywords/>
  <dcterms:created xsi:type="dcterms:W3CDTF">2026-08-17T05:52:37Z</dcterms:created>
  <dcterms:modified xsi:type="dcterms:W3CDTF">2026-08-17T05:52:37Z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Quellen</vt:lpwstr>
  </property>
  <property fmtid="{D5CDD505-2E9C-101B-9397-08002B2CF9AE}" pid="3" name="toc-title">
    <vt:lpwstr>Inhaltsverzeichnis</vt:lpwstr>
  </property>
</Properties>
</file>