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7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material-m01-smartphone-nach-evas"/>
    <w:p>
      <w:pPr>
        <w:pStyle w:val="Heading1"/>
      </w:pPr>
      <w:r>
        <w:t xml:space="preserve">Material M01 – Smartphone nach EVAS</w:t>
      </w:r>
    </w:p>
    <w:p>
      <w:pPr>
        <w:pStyle w:val="FirstParagraph"/>
      </w:pPr>
      <w:r>
        <w:t xml:space="preserve">Ordnet für ein Smartphone konkrete Beispiele zu: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Gerät/Funktion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Welche Information oder Wirkung?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Eingabe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Verarbeitung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Ausgabe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Speicherung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Begründet Mehrfachzuordnungen. Achtet darauf, nicht nur Bauteile, sondern auch die verarbeiteten Informationen zu benennen.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2026-08-17T05:53:04Z</dcterms:created>
  <dcterms:modified xsi:type="dcterms:W3CDTF">2026-08-17T05:53:04Z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Material</vt:lpwstr>
  </property>
  <property fmtid="{D5CDD505-2E9C-101B-9397-08002B2CF9AE}" pid="3" name="toc-title">
    <vt:lpwstr>Inhaltsverzeichnis</vt:lpwstr>
  </property>
</Properties>
</file>