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-m01-smartphone-nach-evas"/>
    <w:p>
      <w:pPr>
        <w:pStyle w:val="Heading1"/>
      </w:pPr>
      <w:r>
        <w:t xml:space="preserve">Material M01 – Smartphone nach EVAS</w:t>
      </w:r>
    </w:p>
    <w:p>
      <w:pPr>
        <w:pStyle w:val="FirstParagraph"/>
      </w:pPr>
      <w:r>
        <w:t xml:space="preserve">Ordnet für ein Smartphone konkrete Beispiele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Gerät/Funktion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 oder Wirkung?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Begründet Mehrfachzuordnungen. Achtet darauf, nicht nur Bauteile, sondern auch die verarbeiteten Informationen zu benennen.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2026-08-17T11:55:25Z</dcterms:created>
  <dcterms:modified xsi:type="dcterms:W3CDTF">2026-08-17T11:55:25Z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