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10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m01-datenmengenvergleich-computergrafik"/>
    <w:p>
      <w:pPr>
        <w:pStyle w:val="Heading1"/>
      </w:pPr>
      <w:r>
        <w:t xml:space="preserve">M01 – Datenmengenvergleich Computergrafik</w:t>
      </w:r>
    </w:p>
    <w:bookmarkStart w:id="20" w:name="gegeben"/>
    <w:p>
      <w:pPr>
        <w:pStyle w:val="Heading2"/>
      </w:pPr>
      <w:r>
        <w:t xml:space="preserve">Gegeben</w:t>
      </w:r>
    </w:p>
    <w:p>
      <w:pPr>
        <w:pStyle w:val="FirstParagraph"/>
      </w:pPr>
      <w:r>
        <w:t xml:space="preserve">Verglichen werden zwei unkomprimierte RGB-Einzelbilder mit 24 Bit Farbtiefe.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Auflösung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Pixelzahl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Rohdaten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 × 480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1920 × 1080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arbeitsauftrag"/>
    <w:p>
      <w:pPr>
        <w:pStyle w:val="Heading2"/>
      </w:pPr>
      <w:r>
        <w:t xml:space="preserve">Arbeitsauftrag</w:t>
      </w:r>
    </w:p>
    <w:p>
      <w:pPr>
        <w:numPr>
          <w:ilvl w:val="0"/>
          <w:numId w:val="1001"/>
        </w:numPr>
        <w:pStyle w:val="Compact"/>
      </w:pPr>
      <w:r>
        <w:t xml:space="preserve">Berechne die Pixelzahl.</w:t>
      </w:r>
    </w:p>
    <w:p>
      <w:pPr>
        <w:numPr>
          <w:ilvl w:val="0"/>
          <w:numId w:val="1001"/>
        </w:numPr>
        <w:pStyle w:val="Compact"/>
      </w:pPr>
      <w:r>
        <w:t xml:space="preserve">Berechne die Rohdatenmenge in Byte und MiB.</w:t>
      </w:r>
    </w:p>
    <w:p>
      <w:pPr>
        <w:numPr>
          <w:ilvl w:val="0"/>
          <w:numId w:val="1001"/>
        </w:numPr>
        <w:pStyle w:val="Compact"/>
      </w:pPr>
      <w:r>
        <w:t xml:space="preserve">Bestimme den Faktor B : A.</w:t>
      </w:r>
    </w:p>
    <w:p>
      <w:pPr>
        <w:numPr>
          <w:ilvl w:val="0"/>
          <w:numId w:val="1001"/>
        </w:numPr>
        <w:pStyle w:val="Compact"/>
      </w:pPr>
      <w:r>
        <w:t xml:space="preserve">Überlege, was bei 60 Bildern pro Sekunde zusätzlich berücksichtigt werden muss.</w:t>
      </w:r>
    </w:p>
    <w:p>
      <w:pPr>
        <w:numPr>
          <w:ilvl w:val="0"/>
          <w:numId w:val="1001"/>
        </w:numPr>
        <w:pStyle w:val="Compact"/>
      </w:pPr>
      <w:r>
        <w:t xml:space="preserve">Markiere mögliche Engpässe: GPU, RAM/VRAM, Massenspeicher, Datenbus, Netzwerk.</w:t>
      </w:r>
    </w:p>
    <w:bookmarkEnd w:id="21"/>
    <w:bookmarkStart w:id="22" w:name="transferfrage"/>
    <w:p>
      <w:pPr>
        <w:pStyle w:val="Heading2"/>
      </w:pPr>
      <w:r>
        <w:t xml:space="preserve">Transferfrage</w:t>
      </w:r>
    </w:p>
    <w:p>
      <w:pPr>
        <w:pStyle w:val="FirstParagraph"/>
      </w:pPr>
      <w:r>
        <w:t xml:space="preserve">Ein Stream sieht trotz hoher Bildschirmauflösung zeitweise unscharf aus. Erkläre, warum geringere Datenrate bzw. stärkere Kompression dafür eine plausible Ursache sein kann.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2026-08-19T07:06:51Z</dcterms:created>
  <dcterms:modified xsi:type="dcterms:W3CDTF">2026-08-19T07:06:51Z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Material</vt:lpwstr>
  </property>
  <property fmtid="{D5CDD505-2E9C-101B-9397-08002B2CF9AE}" pid="3" name="toc-title">
    <vt:lpwstr>Inhaltsverzeichnis</vt:lpwstr>
  </property>
</Properties>
</file>