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ehrerhinweise-computergrafik"/>
    <w:p>
      <w:pPr>
        <w:pStyle w:val="Heading1"/>
      </w:pPr>
      <w:r>
        <w:t xml:space="preserve">Lehrerhinweise – Computergrafik</w:t>
      </w:r>
    </w:p>
    <w:p>
      <w:pPr>
        <w:pStyle w:val="FirstParagraph"/>
      </w:pPr>
      <w:r>
        <w:rPr>
          <w:bCs/>
          <w:b/>
        </w:rPr>
        <w:t xml:space="preserve">Umfang:</w:t>
      </w:r>
      <w:r>
        <w:t xml:space="preserve"> </w:t>
      </w:r>
      <w:r>
        <w:t xml:space="preserve">2–4 Stunden. Programmierkenntnisse werden auf Vektorgrafiken übertragen; Muster und Ornamente bilden das Produkt.</w:t>
      </w:r>
    </w:p>
    <w:bookmarkStart w:id="20" w:name="ablauf"/>
    <w:p>
      <w:pPr>
        <w:pStyle w:val="Heading2"/>
      </w:pPr>
      <w:r>
        <w:t xml:space="preserve">Ablauf</w:t>
      </w:r>
    </w:p>
    <w:p>
      <w:pPr>
        <w:pStyle w:val="FirstParagraph"/>
      </w:pPr>
      <w:r>
        <w:t xml:space="preserve">Grundform als Objekt → Attribute sichern → wiederholte Zeichenfolge → Schleife → Attributänderung je Wiederholung → eigenes Ornament.</w:t>
      </w:r>
    </w:p>
    <w:bookmarkEnd w:id="20"/>
    <w:bookmarkStart w:id="21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Die Lernenden sollen erkennen, dass nicht jede Form einzeln programmiert wird: Eine Grundform bzw. ein Unterprogramm wird wiederverwendet; Schleifen steuern die Wiederholung und Attribute erzeugen Variation.</w:t>
      </w:r>
    </w:p>
    <w:bookmarkEnd w:id="21"/>
    <w:bookmarkStart w:id="22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Quadrat/regelmäßiges Muster. Erweiterung: verschachtelte Schleifen oder systematische Änderung von Drehung, Größe und Position.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2026-08-19T07:04:32Z</dcterms:created>
  <dcterms:modified xsi:type="dcterms:W3CDTF">2026-08-19T07:04:32Z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