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10</w:t>
      </w:r>
    </w:p>
    <w:p>
      <w:pPr>
        <w:pStyle w:val="Subtitle"/>
      </w:pPr>
      <w:r>
        <w:t xml:space="preserve">Informatik · Klasse 10 · Klasse 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informatik-klasse-10"/>
    <w:p>
      <w:pPr>
        <w:pStyle w:val="Heading1"/>
      </w:pPr>
      <w:r>
        <w:t xml:space="preserve">Informatik – Klasse 10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entwickeln, vernetzen und schützen wir komplexe Informatiklösungen?</w:t>
      </w:r>
    </w:p>
    <w:p>
      <w:pPr>
        <w:pStyle w:val="FirstParagraph"/>
      </w:pPr>
      <w:r>
        <w:t xml:space="preserve">Die Materialien orientieren sich am sächsischen Lehrplan Informatik Oberschule 2022, der für Klassenstufe 10 seit dem 1. August 2025 gilt.</w:t>
      </w:r>
    </w:p>
    <w:bookmarkEnd w:id="20"/>
    <w:bookmarkStart w:id="21" w:name="verbindliche-lernbereiche"/>
    <w:p>
      <w:pPr>
        <w:pStyle w:val="Heading2"/>
      </w:pPr>
      <w:r>
        <w:t xml:space="preserve">Verbindliche Lernbereiche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Webbasierte Anwendungen – 9 Ustd.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Komplexes Informatikprojekt – 11 Ustd.</w:t>
      </w:r>
    </w:p>
    <w:bookmarkEnd w:id="21"/>
    <w:bookmarkStart w:id="24" w:name="geplanter-lernweg"/>
    <w:p>
      <w:pPr>
        <w:pStyle w:val="Heading2"/>
      </w:pPr>
      <w:r>
        <w:t xml:space="preserve">Geplanter Lernweg</w:t>
      </w:r>
    </w:p>
    <w:bookmarkStart w:id="22" w:name="lernbereich-1-webbasierte-anwendungen"/>
    <w:p>
      <w:pPr>
        <w:pStyle w:val="Heading3"/>
      </w:pPr>
      <w:r>
        <w:t xml:space="preserve">Lernbereich 1 – Webbasierte Anwendungen</w:t>
      </w:r>
    </w:p>
    <w:p>
      <w:pPr>
        <w:numPr>
          <w:ilvl w:val="0"/>
          <w:numId w:val="1002"/>
        </w:numPr>
        <w:pStyle w:val="Compact"/>
      </w:pPr>
      <w:r>
        <w:t xml:space="preserve">lokale und webbasierte Anwendungen vergleichen</w:t>
      </w:r>
    </w:p>
    <w:p>
      <w:pPr>
        <w:numPr>
          <w:ilvl w:val="0"/>
          <w:numId w:val="1002"/>
        </w:numPr>
        <w:pStyle w:val="Compact"/>
      </w:pPr>
      <w:r>
        <w:t xml:space="preserve">Client, Server und Netzwerkprotokolle wiederholen und anwenden</w:t>
      </w:r>
    </w:p>
    <w:p>
      <w:pPr>
        <w:numPr>
          <w:ilvl w:val="0"/>
          <w:numId w:val="1002"/>
        </w:numPr>
        <w:pStyle w:val="Compact"/>
      </w:pPr>
      <w:r>
        <w:t xml:space="preserve">einfache webbasierte Medien erstellen</w:t>
      </w:r>
    </w:p>
    <w:p>
      <w:pPr>
        <w:numPr>
          <w:ilvl w:val="0"/>
          <w:numId w:val="1002"/>
        </w:numPr>
        <w:pStyle w:val="Compact"/>
      </w:pPr>
      <w:r>
        <w:t xml:space="preserve">Klassen, Objekte, Attribute und Methoden in Webanwendungen erkennen</w:t>
      </w:r>
    </w:p>
    <w:p>
      <w:pPr>
        <w:numPr>
          <w:ilvl w:val="0"/>
          <w:numId w:val="1002"/>
        </w:numPr>
        <w:pStyle w:val="Compact"/>
      </w:pPr>
      <w:r>
        <w:t xml:space="preserve">privater und öffentlicher Bereich</w:t>
      </w:r>
    </w:p>
    <w:p>
      <w:pPr>
        <w:numPr>
          <w:ilvl w:val="0"/>
          <w:numId w:val="1002"/>
        </w:numPr>
        <w:pStyle w:val="Compact"/>
      </w:pPr>
      <w:r>
        <w:t xml:space="preserve">Standortdaten, Cookies und soziale Netzwerke</w:t>
      </w:r>
    </w:p>
    <w:p>
      <w:pPr>
        <w:numPr>
          <w:ilvl w:val="0"/>
          <w:numId w:val="1002"/>
        </w:numPr>
        <w:pStyle w:val="Compact"/>
      </w:pPr>
      <w:r>
        <w:t xml:space="preserve">Passwortsicherheit und Backupstrategien</w:t>
      </w:r>
    </w:p>
    <w:p>
      <w:pPr>
        <w:numPr>
          <w:ilvl w:val="0"/>
          <w:numId w:val="1002"/>
        </w:numPr>
        <w:pStyle w:val="Compact"/>
      </w:pPr>
      <w:r>
        <w:t xml:space="preserve">Cyberkriminalität und Datensicherheit</w:t>
      </w:r>
    </w:p>
    <w:p>
      <w:pPr>
        <w:numPr>
          <w:ilvl w:val="0"/>
          <w:numId w:val="1002"/>
        </w:numPr>
        <w:pStyle w:val="Compact"/>
      </w:pPr>
      <w:r>
        <w:t xml:space="preserve">Grundidee asymmetrischer Verschlüsselung mit öffentlichem und privatem Schlüssel</w:t>
      </w:r>
    </w:p>
    <w:bookmarkEnd w:id="22"/>
    <w:bookmarkStart w:id="23" w:name="Xcb7c5d4fb8d9fd5c89be158d1941e26a4f95d05"/>
    <w:p>
      <w:pPr>
        <w:pStyle w:val="Heading3"/>
      </w:pPr>
      <w:r>
        <w:t xml:space="preserve">Lernbereich 2 – Komplexes Informatikprojekt</w:t>
      </w:r>
    </w:p>
    <w:p>
      <w:pPr>
        <w:numPr>
          <w:ilvl w:val="0"/>
          <w:numId w:val="1003"/>
        </w:numPr>
        <w:pStyle w:val="Compact"/>
      </w:pPr>
      <w:r>
        <w:t xml:space="preserve">Problem analysieren</w:t>
      </w:r>
    </w:p>
    <w:p>
      <w:pPr>
        <w:numPr>
          <w:ilvl w:val="0"/>
          <w:numId w:val="1003"/>
        </w:numPr>
        <w:pStyle w:val="Compact"/>
      </w:pPr>
      <w:r>
        <w:t xml:space="preserve">Projektziel und Teilaufgaben festlegen</w:t>
      </w:r>
    </w:p>
    <w:p>
      <w:pPr>
        <w:numPr>
          <w:ilvl w:val="0"/>
          <w:numId w:val="1003"/>
        </w:numPr>
        <w:pStyle w:val="Compact"/>
      </w:pPr>
      <w:r>
        <w:t xml:space="preserve">Schnittstellen zwischen Gruppen definieren</w:t>
      </w:r>
    </w:p>
    <w:p>
      <w:pPr>
        <w:numPr>
          <w:ilvl w:val="0"/>
          <w:numId w:val="1003"/>
        </w:numPr>
        <w:pStyle w:val="Compact"/>
      </w:pPr>
      <w:r>
        <w:t xml:space="preserve">kollaborativ arbeiten</w:t>
      </w:r>
    </w:p>
    <w:p>
      <w:pPr>
        <w:numPr>
          <w:ilvl w:val="0"/>
          <w:numId w:val="1003"/>
        </w:numPr>
        <w:pStyle w:val="Compact"/>
      </w:pPr>
      <w:r>
        <w:t xml:space="preserve">Einzelergebnisse integrieren</w:t>
      </w:r>
    </w:p>
    <w:p>
      <w:pPr>
        <w:numPr>
          <w:ilvl w:val="0"/>
          <w:numId w:val="1003"/>
        </w:numPr>
        <w:pStyle w:val="Compact"/>
      </w:pPr>
      <w:r>
        <w:t xml:space="preserve">Arbeitsstand kontinuierlich sichern</w:t>
      </w:r>
    </w:p>
    <w:p>
      <w:pPr>
        <w:numPr>
          <w:ilvl w:val="0"/>
          <w:numId w:val="1003"/>
        </w:numPr>
        <w:pStyle w:val="Compact"/>
      </w:pPr>
      <w:r>
        <w:t xml:space="preserve">Projektverlauf dokumentieren</w:t>
      </w:r>
    </w:p>
    <w:p>
      <w:pPr>
        <w:numPr>
          <w:ilvl w:val="0"/>
          <w:numId w:val="1003"/>
        </w:numPr>
        <w:pStyle w:val="Compact"/>
      </w:pPr>
      <w:r>
        <w:t xml:space="preserve">Ergebnis präsentieren und reflektieren</w:t>
      </w:r>
    </w:p>
    <w:bookmarkEnd w:id="23"/>
    <w:bookmarkEnd w:id="24"/>
    <w:bookmarkStart w:id="25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Wie in den anderen Klassenstufen werden schriftliche Leistungskontrollen bereitgestellt. Projekt- und Übungsphasen können zusätzlich diagnostisch genutzt werden.</w:t>
      </w:r>
    </w:p>
    <w:bookmarkEnd w:id="25"/>
    <w:bookmarkStart w:id="26" w:name="werkteilstruktur"/>
    <w:p>
      <w:pPr>
        <w:pStyle w:val="Heading2"/>
      </w:pPr>
      <w:r>
        <w:t xml:space="preserve">Werkteilstruktur</w:t>
      </w:r>
    </w:p>
    <w:p>
      <w:pPr>
        <w:pStyle w:val="SourceCode"/>
      </w:pPr>
      <w:r>
        <w:rPr>
          <w:rStyle w:val="VerbatimChar"/>
        </w:rPr>
        <w:t xml:space="preserve">01_Webbasierte_Anwendungen/</w:t>
      </w:r>
      <w:r>
        <w:br/>
      </w:r>
      <w:r>
        <w:rPr>
          <w:rStyle w:val="VerbatimChar"/>
        </w:rPr>
        <w:t xml:space="preserve">02_Komplexes_Informatikprojekt/</w:t>
      </w:r>
      <w:r>
        <w:br/>
      </w:r>
      <w:r>
        <w:rPr>
          <w:rStyle w:val="VerbatimChar"/>
        </w:rPr>
        <w:t xml:space="preserve">03_Wahlbereich_Sicherheit/</w:t>
      </w:r>
      <w:r>
        <w:br/>
      </w:r>
      <w:r>
        <w:rPr>
          <w:rStyle w:val="VerbatimChar"/>
        </w:rPr>
        <w:t xml:space="preserve">00_Organisation/</w:t>
      </w:r>
    </w:p>
    <w:p>
      <w:pPr>
        <w:pStyle w:val="FirstParagraph"/>
      </w:pPr>
      <w:r>
        <w:t xml:space="preserve">Vollständige Lernbereiche verwenden nach Möglichkeit:</w:t>
      </w:r>
    </w:p>
    <w:p>
      <w:pPr>
        <w:pStyle w:val="SourceCode"/>
      </w:pPr>
      <w:r>
        <w:rPr>
          <w:rStyle w:val="VerbatimChar"/>
        </w:rPr>
        <w:t xml:space="preserve">01_Arbeitsheft/</w:t>
      </w:r>
      <w:r>
        <w:br/>
      </w:r>
      <w:r>
        <w:rPr>
          <w:rStyle w:val="VerbatimChar"/>
        </w:rPr>
        <w:t xml:space="preserve">02_Lehrerband/</w:t>
      </w:r>
      <w:r>
        <w:br/>
      </w:r>
      <w:r>
        <w:rPr>
          <w:rStyle w:val="VerbatimChar"/>
        </w:rPr>
        <w:t xml:space="preserve">03_Material/</w:t>
      </w:r>
      <w:r>
        <w:br/>
      </w:r>
      <w:r>
        <w:rPr>
          <w:rStyle w:val="VerbatimChar"/>
        </w:rPr>
        <w:t xml:space="preserve">04_Loesungen/</w:t>
      </w:r>
      <w:r>
        <w:br/>
      </w:r>
      <w:r>
        <w:rPr>
          <w:rStyle w:val="VerbatimChar"/>
        </w:rPr>
        <w:t xml:space="preserve">05_Praesentationen/</w:t>
      </w:r>
      <w:r>
        <w:br/>
      </w:r>
      <w:r>
        <w:rPr>
          <w:rStyle w:val="VerbatimChar"/>
        </w:rPr>
        <w:t xml:space="preserve">06_Dateien/</w:t>
      </w:r>
      <w:r>
        <w:br/>
      </w:r>
      <w:r>
        <w:rPr>
          <w:rStyle w:val="VerbatimChar"/>
        </w:rPr>
        <w:t xml:space="preserve">07_Quellen/</w:t>
      </w:r>
      <w:r>
        <w:br/>
      </w:r>
      <w:r>
        <w:rPr>
          <w:rStyle w:val="VerbatimChar"/>
        </w:rPr>
        <w:t xml:space="preserve">08_Bilder/</w:t>
      </w:r>
      <w:r>
        <w:br/>
      </w:r>
      <w:r>
        <w:rPr>
          <w:rStyle w:val="VerbatimChar"/>
        </w:rPr>
        <w:t xml:space="preserve">09_Lernkontrollen/</w:t>
      </w:r>
    </w:p>
    <w:p>
      <w:r>
        <w:br w:type="page"/>
      </w:r>
    </w:p>
    <w:bookmarkEnd w:id="26"/>
    <w:bookmarkEnd w:id="27"/>
    <w:bookmarkStart w:id="37" w:name="audit-klasse-10"/>
    <w:p>
      <w:pPr>
        <w:pStyle w:val="Heading1"/>
      </w:pPr>
      <w:r>
        <w:t xml:space="preserve">Audit – Klasse 10</w:t>
      </w:r>
    </w:p>
    <w:bookmarkStart w:id="28" w:name="lehrplanbasis"/>
    <w:p>
      <w:pPr>
        <w:pStyle w:val="Heading2"/>
      </w:pPr>
      <w:r>
        <w:t xml:space="preserve">Lehrplanbasis</w:t>
      </w:r>
    </w:p>
    <w:p>
      <w:pPr>
        <w:pStyle w:val="FirstParagraph"/>
      </w:pPr>
      <w:r>
        <w:t xml:space="preserve">Sächsischer Lehrplan Informatik Oberschule 2022, Klassenstufe 10, gültig seit 1. August 2025.</w:t>
      </w:r>
    </w:p>
    <w:bookmarkEnd w:id="28"/>
    <w:bookmarkStart w:id="29" w:name="verbindliche-lernbereiche-1"/>
    <w:p>
      <w:pPr>
        <w:pStyle w:val="Heading2"/>
      </w:pPr>
      <w:r>
        <w:t xml:space="preserve">Verbindliche Lernbereiche</w:t>
      </w:r>
    </w:p>
    <w:p>
      <w:pPr>
        <w:numPr>
          <w:ilvl w:val="0"/>
          <w:numId w:val="1004"/>
        </w:numPr>
        <w:pStyle w:val="Compact"/>
      </w:pPr>
      <w:r>
        <w:t xml:space="preserve">Lernbereich 1:</w:t>
      </w:r>
      <w:r>
        <w:t xml:space="preserve"> </w:t>
      </w:r>
      <w:r>
        <w:rPr>
          <w:bCs/>
          <w:b/>
        </w:rPr>
        <w:t xml:space="preserve">Webbasierte Anwendungen – 9 Ustd.</w:t>
      </w:r>
    </w:p>
    <w:p>
      <w:pPr>
        <w:numPr>
          <w:ilvl w:val="0"/>
          <w:numId w:val="1004"/>
        </w:numPr>
        <w:pStyle w:val="Compact"/>
      </w:pPr>
      <w:r>
        <w:t xml:space="preserve">Lernbereich 2:</w:t>
      </w:r>
      <w:r>
        <w:t xml:space="preserve"> </w:t>
      </w:r>
      <w:r>
        <w:rPr>
          <w:bCs/>
          <w:b/>
        </w:rPr>
        <w:t xml:space="preserve">Komplexes Informatikprojekt – 11 Ustd.</w:t>
      </w:r>
    </w:p>
    <w:bookmarkEnd w:id="29"/>
    <w:bookmarkStart w:id="32" w:name="abgedeckte-pflichtinhalte"/>
    <w:p>
      <w:pPr>
        <w:pStyle w:val="Heading2"/>
      </w:pPr>
      <w:r>
        <w:t xml:space="preserve">Abgedeckte Pflichtinhalte</w:t>
      </w:r>
    </w:p>
    <w:bookmarkStart w:id="30" w:name="webbasierte-anwendungen"/>
    <w:p>
      <w:pPr>
        <w:pStyle w:val="Heading3"/>
      </w:pPr>
      <w:r>
        <w:t xml:space="preserve">Webbasierte Anwendungen</w:t>
      </w:r>
    </w:p>
    <w:p>
      <w:pPr>
        <w:numPr>
          <w:ilvl w:val="0"/>
          <w:numId w:val="1005"/>
        </w:numPr>
        <w:pStyle w:val="Compact"/>
      </w:pPr>
      <w:r>
        <w:t xml:space="preserve">informatische Konzepte zur Erstellung digitaler Medien</w:t>
      </w:r>
    </w:p>
    <w:p>
      <w:pPr>
        <w:numPr>
          <w:ilvl w:val="0"/>
          <w:numId w:val="1005"/>
        </w:numPr>
        <w:pStyle w:val="Compact"/>
      </w:pPr>
      <w:r>
        <w:t xml:space="preserve">lokale und webbasierte Anwendungen</w:t>
      </w:r>
    </w:p>
    <w:p>
      <w:pPr>
        <w:numPr>
          <w:ilvl w:val="0"/>
          <w:numId w:val="1005"/>
        </w:numPr>
        <w:pStyle w:val="Compact"/>
      </w:pPr>
      <w:r>
        <w:t xml:space="preserve">Client, Server, Netzwerkprotokolle und Zugriffsrechte</w:t>
      </w:r>
    </w:p>
    <w:p>
      <w:pPr>
        <w:numPr>
          <w:ilvl w:val="0"/>
          <w:numId w:val="1005"/>
        </w:numPr>
        <w:pStyle w:val="Compact"/>
      </w:pPr>
      <w:r>
        <w:t xml:space="preserve">Klassen und Objekte</w:t>
      </w:r>
    </w:p>
    <w:p>
      <w:pPr>
        <w:numPr>
          <w:ilvl w:val="0"/>
          <w:numId w:val="1005"/>
        </w:numPr>
        <w:pStyle w:val="Compact"/>
      </w:pPr>
      <w:r>
        <w:t xml:space="preserve">Methoden/Operationen zur Änderung von Attributen</w:t>
      </w:r>
    </w:p>
    <w:p>
      <w:pPr>
        <w:numPr>
          <w:ilvl w:val="0"/>
          <w:numId w:val="1005"/>
        </w:numPr>
        <w:pStyle w:val="Compact"/>
      </w:pPr>
      <w:r>
        <w:t xml:space="preserve">Datensicherheit im Internet</w:t>
      </w:r>
    </w:p>
    <w:p>
      <w:pPr>
        <w:numPr>
          <w:ilvl w:val="0"/>
          <w:numId w:val="1005"/>
        </w:numPr>
        <w:pStyle w:val="Compact"/>
      </w:pPr>
      <w:r>
        <w:t xml:space="preserve">privater und öffentlicher Bereich</w:t>
      </w:r>
    </w:p>
    <w:p>
      <w:pPr>
        <w:numPr>
          <w:ilvl w:val="0"/>
          <w:numId w:val="1005"/>
        </w:numPr>
        <w:pStyle w:val="Compact"/>
      </w:pPr>
      <w:r>
        <w:t xml:space="preserve">soziale Netzwerke</w:t>
      </w:r>
    </w:p>
    <w:p>
      <w:pPr>
        <w:numPr>
          <w:ilvl w:val="0"/>
          <w:numId w:val="1005"/>
        </w:numPr>
        <w:pStyle w:val="Compact"/>
      </w:pPr>
      <w:r>
        <w:t xml:space="preserve">Standortdaten und Cookies</w:t>
      </w:r>
    </w:p>
    <w:p>
      <w:pPr>
        <w:numPr>
          <w:ilvl w:val="0"/>
          <w:numId w:val="1005"/>
        </w:numPr>
        <w:pStyle w:val="Compact"/>
      </w:pPr>
      <w:r>
        <w:t xml:space="preserve">Passwortsicherheit und Backupstrategien</w:t>
      </w:r>
    </w:p>
    <w:p>
      <w:pPr>
        <w:numPr>
          <w:ilvl w:val="0"/>
          <w:numId w:val="1005"/>
        </w:numPr>
        <w:pStyle w:val="Compact"/>
      </w:pPr>
      <w:r>
        <w:t xml:space="preserve">Grundidee asymmetrischer Verschlüsselungsverfahren</w:t>
      </w:r>
    </w:p>
    <w:p>
      <w:pPr>
        <w:numPr>
          <w:ilvl w:val="0"/>
          <w:numId w:val="1005"/>
        </w:numPr>
        <w:pStyle w:val="Compact"/>
      </w:pPr>
      <w:r>
        <w:t xml:space="preserve">öffentlicher und privater Schlüssel</w:t>
      </w:r>
    </w:p>
    <w:bookmarkEnd w:id="30"/>
    <w:bookmarkStart w:id="31" w:name="komplexes-informatikprojekt"/>
    <w:p>
      <w:pPr>
        <w:pStyle w:val="Heading3"/>
      </w:pPr>
      <w:r>
        <w:t xml:space="preserve">Komplexes Informatikprojekt</w:t>
      </w:r>
    </w:p>
    <w:p>
      <w:pPr>
        <w:numPr>
          <w:ilvl w:val="0"/>
          <w:numId w:val="1006"/>
        </w:numPr>
        <w:pStyle w:val="Compact"/>
      </w:pPr>
      <w:r>
        <w:t xml:space="preserve">Projekt zur Lösung einer Problemstellung mit informatischen Werkzeugen</w:t>
      </w:r>
    </w:p>
    <w:p>
      <w:pPr>
        <w:numPr>
          <w:ilvl w:val="0"/>
          <w:numId w:val="1006"/>
        </w:numPr>
        <w:pStyle w:val="Compact"/>
      </w:pPr>
      <w:r>
        <w:t xml:space="preserve">Analyse und Planung</w:t>
      </w:r>
    </w:p>
    <w:p>
      <w:pPr>
        <w:numPr>
          <w:ilvl w:val="0"/>
          <w:numId w:val="1006"/>
        </w:numPr>
        <w:pStyle w:val="Compact"/>
      </w:pPr>
      <w:r>
        <w:t xml:space="preserve">Definition von Schnittstellen zwischen Arbeitsgruppen</w:t>
      </w:r>
    </w:p>
    <w:p>
      <w:pPr>
        <w:numPr>
          <w:ilvl w:val="0"/>
          <w:numId w:val="1006"/>
        </w:numPr>
        <w:pStyle w:val="Compact"/>
      </w:pPr>
      <w:r>
        <w:t xml:space="preserve">kollaborative Werkzeuge</w:t>
      </w:r>
    </w:p>
    <w:p>
      <w:pPr>
        <w:numPr>
          <w:ilvl w:val="0"/>
          <w:numId w:val="1006"/>
        </w:numPr>
        <w:pStyle w:val="Compact"/>
      </w:pPr>
      <w:r>
        <w:t xml:space="preserve">Zusammenführen von Einzelergebnissen</w:t>
      </w:r>
    </w:p>
    <w:p>
      <w:pPr>
        <w:numPr>
          <w:ilvl w:val="0"/>
          <w:numId w:val="1006"/>
        </w:numPr>
        <w:pStyle w:val="Compact"/>
      </w:pPr>
      <w:r>
        <w:t xml:space="preserve">Dokumentation des Projektverlaufs</w:t>
      </w:r>
    </w:p>
    <w:p>
      <w:pPr>
        <w:numPr>
          <w:ilvl w:val="0"/>
          <w:numId w:val="1006"/>
        </w:numPr>
        <w:pStyle w:val="Compact"/>
      </w:pPr>
      <w:r>
        <w:t xml:space="preserve">kontinuierliche Sicherung</w:t>
      </w:r>
    </w:p>
    <w:p>
      <w:pPr>
        <w:numPr>
          <w:ilvl w:val="0"/>
          <w:numId w:val="1006"/>
        </w:numPr>
        <w:pStyle w:val="Compact"/>
      </w:pPr>
      <w:r>
        <w:t xml:space="preserve">Auswertung, Präsentation und Reflexion</w:t>
      </w:r>
    </w:p>
    <w:bookmarkEnd w:id="31"/>
    <w:bookmarkEnd w:id="32"/>
    <w:bookmarkStart w:id="33" w:name="wahlbereich"/>
    <w:p>
      <w:pPr>
        <w:pStyle w:val="Heading2"/>
      </w:pPr>
      <w:r>
        <w:t xml:space="preserve">Wahlbereich</w:t>
      </w:r>
    </w:p>
    <w:p>
      <w:pPr>
        <w:pStyle w:val="FirstParagraph"/>
      </w:pPr>
      <w:r>
        <w:t xml:space="preserve">Ausgearbeitet ist Wahlbereich 1</w:t>
      </w:r>
      <w:r>
        <w:t xml:space="preserve"> </w:t>
      </w:r>
      <w:r>
        <w:rPr>
          <w:bCs/>
          <w:b/>
        </w:rPr>
        <w:t xml:space="preserve">Sicherheit in der Informationsverarbeitung</w:t>
      </w:r>
      <w:r>
        <w:t xml:space="preserve"> </w:t>
      </w:r>
      <w:r>
        <w:t xml:space="preserve">mit digitalem Fußabdruck, Datensammlungen, Standortdaten, Cookies, sozialen Medien und Datensparsamkeit.</w:t>
      </w:r>
    </w:p>
    <w:p>
      <w:pPr>
        <w:pStyle w:val="BodyText"/>
      </w:pPr>
      <w:r>
        <w:t xml:space="preserve">Die Wahlbereiche „Mobile Endgeräte“ und „Computergrafik“ bleiben optional und sind nicht Voraussetzung für die Vollständigkeit der verbindlichen Lernbereiche.</w:t>
      </w:r>
    </w:p>
    <w:bookmarkEnd w:id="33"/>
    <w:bookmarkStart w:id="34" w:name="leistungsbewertung-1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Vier schriftliche Leistungskontrollen stellen zwei planbare schriftliche Noten pro Halbjahr bereit. Sie sind thematisch den tatsächlich behandelten Lerninhalten zugeordnet.</w:t>
      </w:r>
    </w:p>
    <w:bookmarkEnd w:id="34"/>
    <w:bookmarkStart w:id="35" w:name="qualitätsregeln"/>
    <w:p>
      <w:pPr>
        <w:pStyle w:val="Heading2"/>
      </w:pPr>
      <w:r>
        <w:t xml:space="preserve">Qualitätsregeln</w:t>
      </w:r>
    </w:p>
    <w:p>
      <w:pPr>
        <w:numPr>
          <w:ilvl w:val="0"/>
          <w:numId w:val="1007"/>
        </w:numPr>
        <w:pStyle w:val="Compact"/>
      </w:pPr>
      <w:r>
        <w:t xml:space="preserve">Sicherheitsinhalte werden defensiv und schutzorientiert vermittelt.</w:t>
      </w:r>
    </w:p>
    <w:p>
      <w:pPr>
        <w:numPr>
          <w:ilvl w:val="0"/>
          <w:numId w:val="1007"/>
        </w:numPr>
        <w:pStyle w:val="Compact"/>
      </w:pPr>
      <w:r>
        <w:t xml:space="preserve">Projektkompetenz wird über Zerlegung, Schnittstellen, Integration, Test, Dokumentation und Reflexion aufgebaut.</w:t>
      </w:r>
    </w:p>
    <w:p>
      <w:pPr>
        <w:numPr>
          <w:ilvl w:val="0"/>
          <w:numId w:val="1007"/>
        </w:numPr>
        <w:pStyle w:val="Compact"/>
      </w:pPr>
      <w:r>
        <w:t xml:space="preserve">Produkt- und Werkzeugnamen bleiben austauschbare Beispiele.</w:t>
      </w:r>
    </w:p>
    <w:p>
      <w:pPr>
        <w:numPr>
          <w:ilvl w:val="0"/>
          <w:numId w:val="1007"/>
        </w:numPr>
        <w:pStyle w:val="Compact"/>
      </w:pPr>
      <w:r>
        <w:t xml:space="preserve">Weiterführende technische Details werden als Vertiefung gekennzeichnet.</w:t>
      </w:r>
    </w:p>
    <w:bookmarkEnd w:id="35"/>
    <w:bookmarkStart w:id="36" w:name="ergebnis"/>
    <w:p>
      <w:pPr>
        <w:pStyle w:val="Heading2"/>
      </w:pPr>
      <w:r>
        <w:t xml:space="preserve">Ergebnis</w:t>
      </w:r>
    </w:p>
    <w:p>
      <w:pPr>
        <w:pStyle w:val="FirstParagraph"/>
      </w:pPr>
      <w:r>
        <w:t xml:space="preserve">Nach Merge der Klasse-10-PRs liegt für beide verbindlichen Lernbereiche ein vollständiger Unterrichtsweg mit Arbeitsheft, Lehrerband, Material, Lösungen, Präsentationen, Quellen und Leistungskontrollen vor.</w:t>
      </w:r>
    </w:p>
    <w:bookmarkEnd w:id="36"/>
    <w:bookmarkEnd w:id="3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10</dc:title>
  <dc:creator/>
  <dc:language>de-DE</dc:language>
  <cp:keywords/>
  <dcterms:created xsi:type="dcterms:W3CDTF">2026-08-18T19:00:50Z</dcterms:created>
  <dcterms:modified xsi:type="dcterms:W3CDTF">2026-08-18T19:00:50Z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Klasse 10</vt:lpwstr>
  </property>
  <property fmtid="{D5CDD505-2E9C-101B-9397-08002B2CF9AE}" pid="3" name="toc-title">
    <vt:lpwstr>Inhaltsverzeichnis</vt:lpwstr>
  </property>
</Properties>
</file>