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5" w:name="X6ddb95aefea7a465876892f3c89dfdef2b52e68"/>
    <w:p>
      <w:pPr>
        <w:pStyle w:val="Heading1"/>
      </w:pPr>
      <w:r>
        <w:t xml:space="preserve">Präsentation – 07 bis 09 Informatiksysteme, Speicher und Dateien</w:t>
      </w:r>
    </w:p>
    <w:bookmarkStart w:id="1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Was muss zusammenarbeiten, damit ein Informatiksystem im Alltag nutzbar ist?</w:t>
      </w:r>
    </w:p>
    <w:bookmarkEnd w:id="120"/>
    <w:bookmarkStart w:id="121" w:name="folie-2-informatiksystem-im-blockbild"/>
    <w:p>
      <w:pPr>
        <w:pStyle w:val="Heading2"/>
      </w:pPr>
      <w:r>
        <w:t xml:space="preserve">Folie 2 – Informatiksystem im Blockbild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  <w:r>
        <w:t xml:space="preserve">, Speicher als zusätzlicher Baustein. Beispiele: Smartphone, Fahrkartenautomat, Schulcomputer.</w:t>
      </w:r>
    </w:p>
    <w:bookmarkEnd w:id="121"/>
    <w:bookmarkStart w:id="122" w:name="folie-3-hardware"/>
    <w:p>
      <w:pPr>
        <w:pStyle w:val="Heading2"/>
      </w:pPr>
      <w:r>
        <w:t xml:space="preserve">Folie 3 – Hardware</w:t>
      </w:r>
    </w:p>
    <w:p>
      <w:pPr>
        <w:pStyle w:val="FirstParagraph"/>
      </w:pPr>
      <w:r>
        <w:t xml:space="preserve">Körperliche Bestandteile: Prozessor, Arbeitsspeicher, SSD, Bildschirm, Tastatur, Sensoren. Technische Angaben immer auf die Aufgabe beziehen.</w:t>
      </w:r>
    </w:p>
    <w:bookmarkEnd w:id="122"/>
    <w:bookmarkStart w:id="123" w:name="folie-4-software"/>
    <w:p>
      <w:pPr>
        <w:pStyle w:val="Heading2"/>
      </w:pPr>
      <w:r>
        <w:t xml:space="preserve">Folie 4 – Software</w:t>
      </w:r>
    </w:p>
    <w:p>
      <w:pPr>
        <w:pStyle w:val="FirstParagraph"/>
      </w:pPr>
      <w:r>
        <w:t xml:space="preserve">Betriebssystem, Anwendungssoftware und Werkzeuge unterscheiden. Software steuert, verarbeitet und stellt Funktionen bereit.</w:t>
      </w:r>
    </w:p>
    <w:bookmarkEnd w:id="123"/>
    <w:bookmarkStart w:id="124" w:name="folie-5-systembereitschaft"/>
    <w:p>
      <w:pPr>
        <w:pStyle w:val="Heading2"/>
      </w:pPr>
      <w:r>
        <w:t xml:space="preserve">Folie 5 – Systembereitschaft</w:t>
      </w:r>
    </w:p>
    <w:p>
      <w:pPr>
        <w:pStyle w:val="FirstParagraph"/>
      </w:pPr>
      <w:r>
        <w:t xml:space="preserve">Gerät starten, anmelden, Netzwerk prüfen, Anwendung oder Online-Plattform öffnen. Fehlermeldungen zuerst lesen, dann gezielt handeln.</w:t>
      </w:r>
    </w:p>
    <w:bookmarkEnd w:id="124"/>
    <w:bookmarkStart w:id="125" w:name="folie-6-lizenzformen"/>
    <w:p>
      <w:pPr>
        <w:pStyle w:val="Heading2"/>
      </w:pPr>
      <w:r>
        <w:t xml:space="preserve">Folie 6 – Lizenzformen</w:t>
      </w:r>
    </w:p>
    <w:p>
      <w:pPr>
        <w:pStyle w:val="FirstParagraph"/>
      </w:pPr>
      <w:r>
        <w:t xml:space="preserve">Kostenpflichtig/kostenlos ist nicht dasselbe wie proprietär/Open Source. Nutzungsrechte bestimmen, was erlaubt ist.</w:t>
      </w:r>
    </w:p>
    <w:bookmarkEnd w:id="125"/>
    <w:bookmarkStart w:id="126" w:name="X15b923fb16a286a1d2da96d9ffafc89936b001d"/>
    <w:p>
      <w:pPr>
        <w:pStyle w:val="Heading2"/>
      </w:pPr>
      <w:r>
        <w:t xml:space="preserve">Folie 7 – Digitalisierung, Automatisierung, Vernetzung</w:t>
      </w:r>
    </w:p>
    <w:p>
      <w:pPr>
        <w:pStyle w:val="FirstParagraph"/>
      </w:pPr>
      <w:r>
        <w:t xml:space="preserve">Alltagsbeispiele sammeln: Online-Fahrplan, automatische Rechtschreibprüfung, Cloudspeicher, smarte Geräte.</w:t>
      </w:r>
    </w:p>
    <w:bookmarkEnd w:id="126"/>
    <w:bookmarkStart w:id="127" w:name="folie-8-speicherarten"/>
    <w:p>
      <w:pPr>
        <w:pStyle w:val="Heading2"/>
      </w:pPr>
      <w:r>
        <w:t xml:space="preserve">Folie 8 – Speicherarten</w:t>
      </w:r>
    </w:p>
    <w:p>
      <w:pPr>
        <w:pStyle w:val="FirstParagraph"/>
      </w:pPr>
      <w:r>
        <w:t xml:space="preserve">Flüchtig/nichtflüchtig, lokal, Wechselspeicher, Netzwerk und Cloud. Speicherorte nach Zweck auswählen.</w:t>
      </w:r>
    </w:p>
    <w:bookmarkEnd w:id="127"/>
    <w:bookmarkStart w:id="128" w:name="folie-9-speichereigenschaften"/>
    <w:p>
      <w:pPr>
        <w:pStyle w:val="Heading2"/>
      </w:pPr>
      <w:r>
        <w:t xml:space="preserve">Folie 9 – Speichereigenschaften</w:t>
      </w:r>
    </w:p>
    <w:p>
      <w:pPr>
        <w:pStyle w:val="FirstParagraph"/>
      </w:pPr>
      <w:r>
        <w:t xml:space="preserve">Kapazität, Zugriffszeit, Zuverlässigkeit, Mobilität, Kosten und Zugriffsrechte vergleichen.</w:t>
      </w:r>
    </w:p>
    <w:bookmarkEnd w:id="128"/>
    <w:bookmarkStart w:id="129" w:name="folie-10-bit-byte-und-größenordnungen"/>
    <w:p>
      <w:pPr>
        <w:pStyle w:val="Heading2"/>
      </w:pPr>
      <w:r>
        <w:t xml:space="preserve">Folie 10 – Bit, Byte und Größenordnungen</w:t>
      </w:r>
    </w:p>
    <w:p>
      <w:pPr>
        <w:pStyle w:val="FirstParagraph"/>
      </w:pPr>
      <w:r>
        <w:t xml:space="preserve">Bit als zwei Zustände, Byte als 8 Bit, typische Größenordnungen von Dateien einschätzen.</w:t>
      </w:r>
    </w:p>
    <w:bookmarkEnd w:id="129"/>
    <w:bookmarkStart w:id="130" w:name="folie-11-dateien-und-dateitypen"/>
    <w:p>
      <w:pPr>
        <w:pStyle w:val="Heading2"/>
      </w:pPr>
      <w:r>
        <w:t xml:space="preserve">Folie 11 – Dateien und Dateitypen</w:t>
      </w:r>
    </w:p>
    <w:p>
      <w:pPr>
        <w:pStyle w:val="FirstParagraph"/>
      </w:pPr>
      <w:r>
        <w:t xml:space="preserve">Datei, Dateityp und Anwendung zuordnen. Dateiendung ist ein Hinweis, aber kein vollständiger Beweis für Inhalt.</w:t>
      </w:r>
    </w:p>
    <w:bookmarkEnd w:id="130"/>
    <w:bookmarkStart w:id="131" w:name="folie-12-ordner-und-pfade"/>
    <w:p>
      <w:pPr>
        <w:pStyle w:val="Heading2"/>
      </w:pPr>
      <w:r>
        <w:t xml:space="preserve">Folie 12 – Ordner und Pfade</w:t>
      </w:r>
    </w:p>
    <w:p>
      <w:pPr>
        <w:pStyle w:val="FirstParagraph"/>
      </w:pPr>
      <w:r>
        <w:t xml:space="preserve">Sinnvolle Ordnerstruktur und nachvollziehbare Pfadangaben. Beispiel am Schulnetz oder an der Lernplattform.</w:t>
      </w:r>
    </w:p>
    <w:bookmarkEnd w:id="131"/>
    <w:bookmarkStart w:id="132" w:name="folie-13-dateioperationen"/>
    <w:p>
      <w:pPr>
        <w:pStyle w:val="Heading2"/>
      </w:pPr>
      <w:r>
        <w:t xml:space="preserve">Folie 13 – Dateioperationen</w:t>
      </w:r>
    </w:p>
    <w:p>
      <w:pPr>
        <w:pStyle w:val="FirstParagraph"/>
      </w:pPr>
      <w:r>
        <w:t xml:space="preserve">Erstellen, Kopieren, Verschieben, Umbenennen, Löschen. Unterschied Kopieren/Verschieben besonders sichern.</w:t>
      </w:r>
    </w:p>
    <w:bookmarkEnd w:id="132"/>
    <w:bookmarkStart w:id="133" w:name="folie-14-fehlermeldungen-und-praxisfall"/>
    <w:p>
      <w:pPr>
        <w:pStyle w:val="Heading2"/>
      </w:pPr>
      <w:r>
        <w:t xml:space="preserve">Folie 14 – Fehlermeldungen und Praxisfall</w:t>
      </w:r>
    </w:p>
    <w:p>
      <w:pPr>
        <w:pStyle w:val="FirstParagraph"/>
      </w:pPr>
      <w:r>
        <w:t xml:space="preserve">Beispiel: Anmeldung fehlgeschlagen, Datei nicht gefunden, keine Berechtigung. Prüfschritte formulieren.</w:t>
      </w:r>
    </w:p>
    <w:bookmarkEnd w:id="133"/>
    <w:bookmarkStart w:id="134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Informatiksysteme bestehen aus Hardware, Software, Daten, Speicher und Nutzung. Vernetzung, Rechte und Ordnung entscheiden mit, ob sie zuverlässig funktionieren.</w:t>
      </w:r>
    </w:p>
    <w:bookmarkEnd w:id="134"/>
    <w:bookmarkEnd w:id="1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2026-08-18T18:57:21Z</dcterms:created>
  <dcterms:modified xsi:type="dcterms:W3CDTF">2026-08-18T18:57:21Z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