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be3e3d066632b2adee3ed85bedad3343099b2a"/>
    <w:p>
      <w:pPr>
        <w:pStyle w:val="Heading1"/>
      </w:pPr>
      <w:r>
        <w:t xml:space="preserve">Lösungen – 01 bis 03 Daten und Darstellungen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 Rechtschreibprüfung, automatische Summen, Formatvorlagen, automatische Farbanpassung. Die Auswahl von Ziel, Inhalt und Bewertung des Ergebnisses bleibt eine menschliche Aufgabe.</w:t>
      </w:r>
    </w:p>
    <w:p>
      <w:r>
        <w:br w:type="page"/>
      </w:r>
    </w:p>
    <w:bookmarkEnd w:id="24"/>
    <w:bookmarkEnd w:id="25"/>
    <w:bookmarkStart w:id="33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6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6"/>
    <w:bookmarkStart w:id="27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Farbe</w:t>
      </w:r>
    </w:p>
    <w:p>
      <w:pPr>
        <w:numPr>
          <w:ilvl w:val="0"/>
          <w:numId w:val="1004"/>
        </w:numPr>
        <w:pStyle w:val="Compact"/>
      </w:pPr>
      <w:r>
        <w:t xml:space="preserve">Gangzahl</w:t>
      </w:r>
    </w:p>
    <w:p>
      <w:pPr>
        <w:numPr>
          <w:ilvl w:val="0"/>
          <w:numId w:val="1004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</w:t>
      </w:r>
    </w:p>
    <w:bookmarkEnd w:id="27"/>
    <w:bookmarkStart w:id="31" w:name="datenrechte"/>
    <w:p>
      <w:pPr>
        <w:pStyle w:val="Heading2"/>
      </w:pPr>
      <w:r>
        <w:t xml:space="preserve">Datenrechte</w:t>
      </w:r>
    </w:p>
    <w:bookmarkStart w:id="28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28"/>
    <w:bookmarkStart w:id="29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29"/>
    <w:bookmarkStart w:id="30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Mögliche Fragen: Warum benötigt die App den Standort? Nur während der Nutzung oder dauerhaft? Wer erhält die Daten? Kann die Berechtigung später widerrufen werden?</w:t>
      </w:r>
    </w:p>
    <w:bookmarkEnd w:id="30"/>
    <w:bookmarkEnd w:id="31"/>
    <w:bookmarkStart w:id="32" w:name="material-fallkarten"/>
    <w:p>
      <w:pPr>
        <w:pStyle w:val="Heading2"/>
      </w:pPr>
      <w:r>
        <w:t xml:space="preserve">Material Fallkarten</w:t>
      </w:r>
    </w:p>
    <w:p>
      <w:pPr>
        <w:numPr>
          <w:ilvl w:val="0"/>
          <w:numId w:val="1005"/>
        </w:numPr>
        <w:pStyle w:val="Compact"/>
      </w:pPr>
      <w:r>
        <w:t xml:space="preserve">Öffentliche Weitergabe ohne Zustimmung ist nicht verantwortungsvoll.</w:t>
      </w:r>
    </w:p>
    <w:p>
      <w:pPr>
        <w:numPr>
          <w:ilvl w:val="0"/>
          <w:numId w:val="1005"/>
        </w:numPr>
        <w:pStyle w:val="Compact"/>
      </w:pPr>
      <w:r>
        <w:t xml:space="preserve">Nutzungsrechte/Lizenz der Musik prüfen; ggf. geeignet lizenzierte Medien verwenden.</w:t>
      </w:r>
    </w:p>
    <w:p>
      <w:pPr>
        <w:numPr>
          <w:ilvl w:val="0"/>
          <w:numId w:val="1005"/>
        </w:numPr>
        <w:pStyle w:val="Compact"/>
      </w:pPr>
      <w:r>
        <w:t xml:space="preserve">Standort einer anderen Person nicht ohne deren Zustimmung weitergeben.</w:t>
      </w:r>
    </w:p>
    <w:p>
      <w:pPr>
        <w:numPr>
          <w:ilvl w:val="0"/>
          <w:numId w:val="1005"/>
        </w:numPr>
        <w:pStyle w:val="Compact"/>
      </w:pPr>
      <w:r>
        <w:t xml:space="preserve">Bei zulässiger freier Lizenz die Lizenzbedingungen und Quellenangabe beachten.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2026-08-17T17:52:39Z</dcterms:created>
  <dcterms:modified xsi:type="dcterms:W3CDTF">2026-08-17T17:52:39Z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