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8" w:name="wahlbereiche"/>
    <w:p>
      <w:pPr>
        <w:pStyle w:val="Heading2"/>
      </w:pPr>
      <w:r>
        <w:t xml:space="preserve">Wahlbereiche</w:t>
      </w:r>
    </w:p>
    <w:bookmarkStart w:id="25" w:name="X1f3d8925ac3e148ad8bf337ce4e3a4ebd8c9845"/>
    <w:p>
      <w:pPr>
        <w:pStyle w:val="Heading3"/>
      </w:pPr>
      <w:r>
        <w:t xml:space="preserve">03 – Sicherheit in der Informationsverarbeitung</w:t>
      </w:r>
    </w:p>
    <w:p>
      <w:pPr>
        <w:pStyle w:val="FirstParagraph"/>
      </w:pPr>
      <w:r>
        <w:t xml:space="preserve">Digitaler Fußabdruck, Datensammlungen, Cookies/Tracking, Berechtigungen, Datensparsamkeit und Kontoschutz.</w:t>
      </w:r>
    </w:p>
    <w:bookmarkEnd w:id="25"/>
    <w:bookmarkStart w:id="26" w:name="mobile-endgeräte"/>
    <w:p>
      <w:pPr>
        <w:pStyle w:val="Heading3"/>
      </w:pPr>
      <w:r>
        <w:t xml:space="preserve">04 – Mobile Endgeräte</w:t>
      </w:r>
    </w:p>
    <w:p>
      <w:pPr>
        <w:pStyle w:val="FirstParagraph"/>
      </w:pPr>
      <w:r>
        <w:t xml:space="preserve">Mobile Bezahldienste: Beteiligte, Datenfluss, Authentisierung, Autorisierung, Schutzmechanismen, Verlustszenario und begründete Sicherheitsbewertung.</w:t>
      </w:r>
    </w:p>
    <w:bookmarkEnd w:id="26"/>
    <w:bookmarkStart w:id="27" w:name="computergrafik"/>
    <w:p>
      <w:pPr>
        <w:pStyle w:val="Heading3"/>
      </w:pPr>
      <w:r>
        <w:t xml:space="preserve">05 – Computergrafik</w:t>
      </w:r>
    </w:p>
    <w:p>
      <w:pPr>
        <w:pStyle w:val="FirstParagraph"/>
      </w:pPr>
      <w:r>
        <w:t xml:space="preserve">Historische Entwicklung, Auflösung, Farbtiefe, Bildrate, Rohdatenmengen, Rechenleistung, Speicher, Kompression und Streaming.</w:t>
      </w:r>
    </w:p>
    <w:bookmarkEnd w:id="27"/>
    <w:bookmarkEnd w:id="28"/>
    <w:bookmarkStart w:id="2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für die verbindlichen Lernbereiche bereitgestellt. Projekt- und Übungsphasen können zusätzlich diagnostisch genutzt werden. Wahlbereiche benötigen nicht zwingend eigene schriftliche Lernkontrollen.</w:t>
      </w:r>
    </w:p>
    <w:bookmarkEnd w:id="29"/>
    <w:bookmarkStart w:id="30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p>
      <w:pPr>
        <w:pStyle w:val="FirstParagraph"/>
      </w:pPr>
      <w:r>
        <w:t xml:space="preserve">Vollständig ausgearbeitete Unterrichtsbereiche verwenden je nach Bedarf: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    md/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Die Markdown-Quellen zu Präsentationen liegen einheitlich in</w:t>
      </w:r>
      <w:r>
        <w:t xml:space="preserve"> </w:t>
      </w:r>
      <w:r>
        <w:rPr>
          <w:rStyle w:val="VerbatimChar"/>
        </w:rPr>
        <w:t xml:space="preserve">05_Praesentationen/md/</w:t>
      </w:r>
      <w:r>
        <w:t xml:space="preserve">. Fertige PowerPoint-Dateien liegen direkt in</w:t>
      </w:r>
      <w:r>
        <w:t xml:space="preserve"> </w:t>
      </w:r>
      <w:r>
        <w:rPr>
          <w:rStyle w:val="VerbatimChar"/>
        </w:rPr>
        <w:t xml:space="preserve">05_Praesentationen/</w:t>
      </w:r>
      <w:r>
        <w:t xml:space="preserve">.</w:t>
      </w:r>
    </w:p>
    <w:p>
      <w:r>
        <w:br w:type="page"/>
      </w:r>
    </w:p>
    <w:bookmarkEnd w:id="30"/>
    <w:bookmarkEnd w:id="31"/>
    <w:bookmarkStart w:id="46" w:name="audit-klasse-10"/>
    <w:p>
      <w:pPr>
        <w:pStyle w:val="Heading1"/>
      </w:pPr>
      <w:r>
        <w:t xml:space="preserve">Audit – Klasse 10</w:t>
      </w:r>
    </w:p>
    <w:bookmarkStart w:id="32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32"/>
    <w:bookmarkStart w:id="33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33"/>
    <w:bookmarkStart w:id="36" w:name="abgedeckte-pflichtinhalte"/>
    <w:p>
      <w:pPr>
        <w:pStyle w:val="Heading2"/>
      </w:pPr>
      <w:r>
        <w:t xml:space="preserve">Abgedeckte Pflichtinhalte</w:t>
      </w:r>
    </w:p>
    <w:bookmarkStart w:id="34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4"/>
    <w:bookmarkStart w:id="35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5"/>
    <w:bookmarkEnd w:id="36"/>
    <w:bookmarkStart w:id="40" w:name="wahlbereiche-1"/>
    <w:p>
      <w:pPr>
        <w:pStyle w:val="Heading2"/>
      </w:pPr>
      <w:r>
        <w:t xml:space="preserve">Wahlbereiche</w:t>
      </w:r>
    </w:p>
    <w:bookmarkStart w:id="37" w:name="Xf48347d72e344cd562b5bb47feb6c1ae82281a6"/>
    <w:p>
      <w:pPr>
        <w:pStyle w:val="Heading3"/>
      </w:pPr>
      <w:r>
        <w:t xml:space="preserve">03 – Sicherheit in der Informationsverarbeitung</w:t>
      </w:r>
    </w:p>
    <w:p>
      <w:pPr>
        <w:pStyle w:val="FirstParagraph"/>
      </w:pPr>
      <w:r>
        <w:t xml:space="preserve">Ausgearbeitet mit digitalem Fußabdruck, Datensammlungen, Standortdaten, Cookies/Tracking, sozialen Medien, App-Berechtigungen, Datensparsamkeit und Kontoschutz.</w:t>
      </w:r>
    </w:p>
    <w:bookmarkEnd w:id="37"/>
    <w:bookmarkStart w:id="38" w:name="mobile-endgeräte-1"/>
    <w:p>
      <w:pPr>
        <w:pStyle w:val="Heading3"/>
      </w:pPr>
      <w:r>
        <w:t xml:space="preserve">04 – Mobile Endgeräte</w:t>
      </w:r>
    </w:p>
    <w:p>
      <w:pPr>
        <w:pStyle w:val="FirstParagraph"/>
      </w:pPr>
      <w:r>
        <w:t xml:space="preserve">Ausgearbeitet mit mobilem Bezahlen, Beteiligten und Datenfluss, Authentisierung und Autorisierung, technischen Schutzmechanismen, Verlustszenario, Risikoanalyse und begründeter Bewertung.</w:t>
      </w:r>
    </w:p>
    <w:bookmarkEnd w:id="38"/>
    <w:bookmarkStart w:id="39" w:name="computergrafik-1"/>
    <w:p>
      <w:pPr>
        <w:pStyle w:val="Heading3"/>
      </w:pPr>
      <w:r>
        <w:t xml:space="preserve">05 – Computergrafik</w:t>
      </w:r>
    </w:p>
    <w:p>
      <w:pPr>
        <w:pStyle w:val="FirstParagraph"/>
      </w:pPr>
      <w:r>
        <w:t xml:space="preserve">Ausgearbeitet mit historischer Entwicklung, Auflösung, Farbtiefe, Bildrate, Rohdatenmengen, Rechenleistung, Speicher, Bandbreite, Kompression und Streaming.</w:t>
      </w:r>
    </w:p>
    <w:bookmarkEnd w:id="39"/>
    <w:bookmarkEnd w:id="40"/>
    <w:bookmarkStart w:id="41" w:name="strukturprüfung"/>
    <w:p>
      <w:pPr>
        <w:pStyle w:val="Heading2"/>
      </w:pPr>
      <w:r>
        <w:t xml:space="preserve">Strukturprüfung</w:t>
      </w:r>
    </w:p>
    <w:p>
      <w:pPr>
        <w:pStyle w:val="FirstParagraph"/>
      </w:pPr>
      <w:r>
        <w:t xml:space="preserve">Für alle fünf Unterrichtsbereiche sind Arbeitsheft bzw. Lernaufgaben, Lehrerhinweise, Material, Lösungen und Präsentationsquellen vorhanden. Quellenhinweise sind vorhanden. Die Präsentations-Markdowns liegen einheitlich unter</w:t>
      </w:r>
      <w:r>
        <w:t xml:space="preserve"> </w:t>
      </w:r>
      <w:r>
        <w:rPr>
          <w:rStyle w:val="VerbatimChar"/>
        </w:rPr>
        <w:t xml:space="preserve">05_Praesentationen/md/</w:t>
      </w:r>
      <w:r>
        <w:t xml:space="preserve">; fertige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werden direkt in</w:t>
      </w:r>
      <w:r>
        <w:t xml:space="preserve"> </w:t>
      </w:r>
      <w:r>
        <w:rPr>
          <w:rStyle w:val="VerbatimChar"/>
        </w:rPr>
        <w:t xml:space="preserve">05_Praesentationen/</w:t>
      </w:r>
      <w:r>
        <w:t xml:space="preserve"> </w:t>
      </w:r>
      <w:r>
        <w:t xml:space="preserve">abgelegt.</w:t>
      </w:r>
    </w:p>
    <w:p>
      <w:pPr>
        <w:pStyle w:val="BodyText"/>
      </w:pPr>
      <w:r>
        <w:t xml:space="preserve">Die Pflichtbereiche 01 und 02 enthalten zusätzlich schriftliche Lernkontrollen. Für Wahlbereiche sind eigene Lernkontrollen optional und nicht Voraussetzung für strukturelle Vollständigkeit.</w:t>
      </w:r>
    </w:p>
    <w:bookmarkEnd w:id="41"/>
    <w:bookmarkStart w:id="42" w:name="noch-offen-vor-abschluss-klasse-10"/>
    <w:p>
      <w:pPr>
        <w:pStyle w:val="Heading2"/>
      </w:pPr>
      <w:r>
        <w:t xml:space="preserve">Noch offen vor Abschluss Klasse 10</w:t>
      </w:r>
    </w:p>
    <w:p>
      <w:pPr>
        <w:numPr>
          <w:ilvl w:val="0"/>
          <w:numId w:val="1007"/>
        </w:numPr>
        <w:pStyle w:val="Compact"/>
      </w:pPr>
      <w:r>
        <w:t xml:space="preserve">PowerPoint-Dateien aus den Präsentationsquellen erstellen und didaktisch/visuell prüfen</w:t>
      </w:r>
    </w:p>
    <w:p>
      <w:pPr>
        <w:numPr>
          <w:ilvl w:val="0"/>
          <w:numId w:val="1007"/>
        </w:numPr>
        <w:pStyle w:val="Compact"/>
      </w:pPr>
      <w:r>
        <w:t xml:space="preserve">Lehrerhinweise in den PowerPoints ergänzen</w:t>
      </w:r>
    </w:p>
    <w:p>
      <w:pPr>
        <w:numPr>
          <w:ilvl w:val="0"/>
          <w:numId w:val="1007"/>
        </w:numPr>
        <w:pStyle w:val="Compact"/>
      </w:pPr>
      <w:r>
        <w:t xml:space="preserve">Build-Ausgabe für Klasse 10 prüfen</w:t>
      </w:r>
    </w:p>
    <w:p>
      <w:pPr>
        <w:numPr>
          <w:ilvl w:val="0"/>
          <w:numId w:val="1007"/>
        </w:numPr>
        <w:pStyle w:val="Compact"/>
      </w:pPr>
      <w:r>
        <w:t xml:space="preserve">abschließende Querverweis- und Dateinamenprüfung</w:t>
      </w:r>
    </w:p>
    <w:bookmarkEnd w:id="42"/>
    <w:bookmarkStart w:id="43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verbindlichen Lerninhalten zugeordnet.</w:t>
      </w:r>
    </w:p>
    <w:bookmarkEnd w:id="43"/>
    <w:bookmarkStart w:id="44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8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8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8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8"/>
        </w:numPr>
        <w:pStyle w:val="Compact"/>
      </w:pPr>
      <w:r>
        <w:t xml:space="preserve">Weiterführende technische Details werden als Vertiefung gekennzeichnet.</w:t>
      </w:r>
    </w:p>
    <w:p>
      <w:pPr>
        <w:numPr>
          <w:ilvl w:val="0"/>
          <w:numId w:val="1008"/>
        </w:numPr>
        <w:pStyle w:val="Compact"/>
      </w:pPr>
      <w:r>
        <w:t xml:space="preserve">Berechnungen zu Computergrafik werden als Modellrechnungen für unkomprimierte Rohdaten gekennzeichnet.</w:t>
      </w:r>
    </w:p>
    <w:bookmarkEnd w:id="44"/>
    <w:bookmarkStart w:id="45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Klasse 10 ist inhaltlich und strukturell bis auf die noch zu erzeugenden und zu prüfenden PowerPoint-Dateien vollständig vorbereitet. Nach deren Erstellung und Build-Prüfung kann die Klassenstufe als abgeschlossen bewertet werden.</w: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2026-08-20T05:39:16Z</dcterms:created>
  <dcterms:modified xsi:type="dcterms:W3CDTF">2026-08-20T05:39:16Z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