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ösung-mobile-endgeräte"/>
    <w:p>
      <w:pPr>
        <w:pStyle w:val="Heading1"/>
      </w:pPr>
      <w:r>
        <w:t xml:space="preserve">Lösung – Mobile Endgeräte</w:t>
      </w:r>
    </w:p>
    <w:p>
      <w:pPr>
        <w:pStyle w:val="FirstParagraph"/>
      </w:pPr>
      <w:r>
        <w:t xml:space="preserve">Typische Zuordnung: Kopfhörer → Bluetooth; Smart-TV/Smarthome-Zentrale → häufig WLAN; NFC-Tag → NFC. WLAN hat typischerweise größere Reichweite und benötigt ein lokales Funknetz; Bluetooth eignet sich für direkte Kopplung im Nahbereich; NFC für sehr kurze Distanz.</w:t>
      </w:r>
    </w:p>
    <w:p>
      <w:pPr>
        <w:pStyle w:val="BodyText"/>
      </w:pPr>
      <w:r>
        <w:t xml:space="preserve">Smarthome-Modell: Smartphone ↔ WLAN ↔ Router/Zentrale ↔ Sensoren/Aktoren. Je nach Gerät können letzte Verbindungen andere Funktechniken verwenden.</w:t>
      </w:r>
    </w:p>
    <w:p>
      <w:pPr>
        <w:pStyle w:val="BodyText"/>
      </w:pPr>
      <w:r>
        <w:t xml:space="preserve">Informationsfluss: Nutzereingabe → App → Verbindung → Zentrale/Gerät → Verarbeitung → Aktor Lampe. Sicherheitskritische Grundfunktionen sollten nach Möglichkeit nicht allein von einer Internetverbindung abhängen.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2026-08-20T05:39:13Z</dcterms:created>
  <dcterms:modified xsi:type="dcterms:W3CDTF">2026-08-20T05:39:13Z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