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architecture-decision-records-adr"/>
    <w:p>
      <w:pPr>
        <w:pStyle w:val="Heading1"/>
      </w:pPr>
      <w:r>
        <w:t xml:space="preserve">Architecture Decision Records (ADR)</w:t>
      </w:r>
    </w:p>
    <w:p>
      <w:pPr>
        <w:pStyle w:val="FirstParagraph"/>
      </w:pPr>
      <w:r>
        <w:t xml:space="preserve">Dieser Ordner dokumentiert grundlegende Architekturentscheidungen des OER-Lehrwerks.</w:t>
      </w:r>
    </w:p>
    <w:p>
      <w:pPr>
        <w:pStyle w:val="BodyText"/>
      </w:pPr>
      <w:r>
        <w:t xml:space="preserve">ADR-Dokumente erklären nicht nur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entschieden wurde, sondern auch</w:t>
      </w:r>
      <w:r>
        <w:t xml:space="preserve"> </w:t>
      </w:r>
      <w:r>
        <w:rPr>
          <w:bCs/>
          <w:b/>
        </w:rPr>
        <w:t xml:space="preserve">warum</w:t>
      </w:r>
      <w:r>
        <w:t xml:space="preserve">.</w:t>
      </w:r>
    </w:p>
    <w:bookmarkStart w:id="20" w:name="statuswerte"/>
    <w:p>
      <w:pPr>
        <w:pStyle w:val="Heading2"/>
      </w:pPr>
      <w:r>
        <w:t xml:space="preserve">Statuswerte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Vorgeschlagen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Akzeptiert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Ersetzt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Verworfen</w:t>
      </w:r>
    </w:p>
    <w:bookmarkEnd w:id="20"/>
    <w:bookmarkStart w:id="21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Bestehende ADRs werden nicht stillschweigend umgeschrieben. Ändert sich eine grundlegende Entscheidung, wird eine neue ADR erstellt und die alte als</w:t>
      </w:r>
      <w:r>
        <w:t xml:space="preserve"> </w:t>
      </w:r>
      <w:r>
        <w:rPr>
          <w:rStyle w:val="VerbatimChar"/>
        </w:rPr>
        <w:t xml:space="preserve">Ersetzt</w:t>
      </w:r>
      <w:r>
        <w:t xml:space="preserve"> </w:t>
      </w:r>
      <w:r>
        <w:t xml:space="preserve">gekennzeichnet.</w:t>
      </w:r>
    </w:p>
    <w:bookmarkEnd w:id="21"/>
    <w:bookmarkEnd w:id="22"/>
    <w:bookmarkStart w:id="29" w:name="adr-0001-repository-struktur"/>
    <w:p>
      <w:pPr>
        <w:pStyle w:val="Heading1"/>
      </w:pPr>
      <w:r>
        <w:t xml:space="preserve">ADR-0001 – Repository-Struktur</w:t>
      </w:r>
    </w:p>
    <w:bookmarkStart w:id="23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23"/>
    <w:bookmarkStart w:id="24" w:name="kontext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Das Lehrwerk enthält Materialien für mehrere Klassenstufen sowie klassenübergreifende Grundlagen. Inhalte müssen schnell auffindbar, einzeln austauschbar und unabhängig versionierbar sein.</w:t>
      </w:r>
    </w:p>
    <w:bookmarkEnd w:id="24"/>
    <w:bookmarkStart w:id="25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Das Repository trennt klassenübergreifende Grundlagen, Klassenstufen, Dokumentation, Lizenzen und Vorlagen.</w:t>
      </w:r>
    </w:p>
    <w:p>
      <w:pPr>
        <w:pStyle w:val="BodyText"/>
      </w:pPr>
      <w:r>
        <w:t xml:space="preserve">Grundlegende Werkzeuge und Nachschlageinhalte werden außerhalb der Klassenstufen abgelegt, da sie für mehrere Klassenstufen relevant sind.</w:t>
      </w:r>
    </w:p>
    <w:p>
      <w:pPr>
        <w:pStyle w:val="BodyText"/>
      </w:pPr>
      <w:r>
        <w:t xml:space="preserve">Lehrplanbezogene Inhalte verbleiben innerhalb der jeweiligen Klassenstufe.</w:t>
      </w:r>
    </w:p>
    <w:bookmarkEnd w:id="25"/>
    <w:bookmarkStart w:id="28" w:name="konsequenzen"/>
    <w:p>
      <w:pPr>
        <w:pStyle w:val="Heading2"/>
      </w:pPr>
      <w:r>
        <w:t xml:space="preserve">Konsequenzen</w:t>
      </w:r>
    </w:p>
    <w:bookmarkStart w:id="26" w:name="vorteile"/>
    <w:p>
      <w:pPr>
        <w:pStyle w:val="Heading3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Keine unnötige Duplizierung von Grundlagen.</w:t>
      </w:r>
    </w:p>
    <w:p>
      <w:pPr>
        <w:numPr>
          <w:ilvl w:val="0"/>
          <w:numId w:val="1002"/>
        </w:numPr>
        <w:pStyle w:val="Compact"/>
      </w:pPr>
      <w:r>
        <w:t xml:space="preserve">Klassenstufen bleiben lehrplannah.</w:t>
      </w:r>
    </w:p>
    <w:p>
      <w:pPr>
        <w:numPr>
          <w:ilvl w:val="0"/>
          <w:numId w:val="1002"/>
        </w:numPr>
        <w:pStyle w:val="Compact"/>
      </w:pPr>
      <w:r>
        <w:t xml:space="preserve">Materialien können unabhängig gepflegt werden.</w:t>
      </w:r>
    </w:p>
    <w:p>
      <w:pPr>
        <w:numPr>
          <w:ilvl w:val="0"/>
          <w:numId w:val="1002"/>
        </w:numPr>
        <w:pStyle w:val="Compact"/>
      </w:pPr>
      <w:r>
        <w:t xml:space="preserve">Lehrkräfte finden Werkzeughilfen zentral.</w:t>
      </w:r>
    </w:p>
    <w:bookmarkEnd w:id="26"/>
    <w:bookmarkStart w:id="27" w:name="nachteile"/>
    <w:p>
      <w:pPr>
        <w:pStyle w:val="Heading3"/>
      </w:pPr>
      <w:r>
        <w:t xml:space="preserve">Nachteile</w:t>
      </w:r>
    </w:p>
    <w:p>
      <w:pPr>
        <w:numPr>
          <w:ilvl w:val="0"/>
          <w:numId w:val="1003"/>
        </w:numPr>
        <w:pStyle w:val="Compact"/>
      </w:pPr>
      <w:r>
        <w:t xml:space="preserve">Fachkapitel müssen teilweise auf Grundlagen verweisen.</w:t>
      </w:r>
    </w:p>
    <w:p>
      <w:pPr>
        <w:numPr>
          <w:ilvl w:val="0"/>
          <w:numId w:val="1003"/>
        </w:numPr>
        <w:pStyle w:val="Compact"/>
      </w:pPr>
      <w:r>
        <w:t xml:space="preserve">Querverweise müssen bei Umstrukturierungen geprüft werden.</w:t>
      </w:r>
    </w:p>
    <w:bookmarkEnd w:id="27"/>
    <w:bookmarkEnd w:id="28"/>
    <w:bookmarkEnd w:id="29"/>
    <w:bookmarkStart w:id="34" w:name="X0290628f918f5e0a0b9a5ffee41684fbb1c0fa0"/>
    <w:p>
      <w:pPr>
        <w:pStyle w:val="Heading1"/>
      </w:pPr>
      <w:r>
        <w:t xml:space="preserve">ADR-0002 – Grundlagen sind klassenübergreifend</w:t>
      </w:r>
    </w:p>
    <w:bookmarkStart w:id="30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0"/>
    <w:bookmarkStart w:id="31" w:name="kontext-1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Themen wie Scratch, Python, GitHub, Markdown, VS Code, Datenschutz oder Dateiverwaltung werden in mehreren Klassenstufen benötigt.</w:t>
      </w:r>
    </w:p>
    <w:bookmarkEnd w:id="31"/>
    <w:bookmarkStart w:id="3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Der Bereich</w:t>
      </w:r>
      <w:r>
        <w:t xml:space="preserve"> </w:t>
      </w:r>
      <w:r>
        <w:rPr>
          <w:rStyle w:val="VerbatimChar"/>
        </w:rPr>
        <w:t xml:space="preserve">Grundlagen/</w:t>
      </w:r>
      <w:r>
        <w:t xml:space="preserve"> </w:t>
      </w:r>
      <w:r>
        <w:t xml:space="preserve">liegt oberhalb der Klassenstufen.</w:t>
      </w:r>
    </w:p>
    <w:p>
      <w:pPr>
        <w:pStyle w:val="BodyText"/>
      </w:pPr>
      <w:r>
        <w:t xml:space="preserve">Aktuell vorgesehene Bereiche sind:</w:t>
      </w:r>
    </w:p>
    <w:p>
      <w:pPr>
        <w:numPr>
          <w:ilvl w:val="0"/>
          <w:numId w:val="1004"/>
        </w:numPr>
        <w:pStyle w:val="Compact"/>
      </w:pPr>
      <w:r>
        <w:t xml:space="preserve">Computer</w:t>
      </w:r>
    </w:p>
    <w:p>
      <w:pPr>
        <w:numPr>
          <w:ilvl w:val="0"/>
          <w:numId w:val="1004"/>
        </w:numPr>
        <w:pStyle w:val="Compact"/>
      </w:pPr>
      <w:r>
        <w:t xml:space="preserve">Dateiverwaltung</w:t>
      </w:r>
    </w:p>
    <w:p>
      <w:pPr>
        <w:numPr>
          <w:ilvl w:val="0"/>
          <w:numId w:val="1004"/>
        </w:numPr>
        <w:pStyle w:val="Compact"/>
      </w:pPr>
      <w:r>
        <w:t xml:space="preserve">Datenschutz</w:t>
      </w:r>
    </w:p>
    <w:p>
      <w:pPr>
        <w:numPr>
          <w:ilvl w:val="0"/>
          <w:numId w:val="1004"/>
        </w:numPr>
        <w:pStyle w:val="Compact"/>
      </w:pPr>
      <w:r>
        <w:t xml:space="preserve">GitHub</w:t>
      </w:r>
    </w:p>
    <w:p>
      <w:pPr>
        <w:numPr>
          <w:ilvl w:val="0"/>
          <w:numId w:val="1004"/>
        </w:numPr>
        <w:pStyle w:val="Compact"/>
      </w:pPr>
      <w:r>
        <w:t xml:space="preserve">Glossar</w:t>
      </w:r>
    </w:p>
    <w:p>
      <w:pPr>
        <w:numPr>
          <w:ilvl w:val="0"/>
          <w:numId w:val="1004"/>
        </w:numPr>
        <w:pStyle w:val="Compact"/>
      </w:pPr>
      <w:r>
        <w:t xml:space="preserve">KI</w:t>
      </w:r>
    </w:p>
    <w:p>
      <w:pPr>
        <w:numPr>
          <w:ilvl w:val="0"/>
          <w:numId w:val="1004"/>
        </w:numPr>
        <w:pStyle w:val="Compact"/>
      </w:pPr>
      <w:r>
        <w:t xml:space="preserve">Lizenzen</w:t>
      </w:r>
    </w:p>
    <w:p>
      <w:pPr>
        <w:numPr>
          <w:ilvl w:val="0"/>
          <w:numId w:val="1004"/>
        </w:numPr>
        <w:pStyle w:val="Compact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VSCode</w:t>
      </w:r>
    </w:p>
    <w:p>
      <w:pPr>
        <w:pStyle w:val="FirstParagraph"/>
      </w:pPr>
      <w:r>
        <w:t xml:space="preserve">Die Grundlagen erklären Werkzeuge und Basiswissen. Lehrplaninhalte wie Algorithmierung, Verzweigungen oder Wiederholungen gehören nicht in diesen Bereich.</w:t>
      </w:r>
    </w:p>
    <w:bookmarkEnd w:id="32"/>
    <w:bookmarkStart w:id="33" w:name="konsequenzen-1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Grundlagen können als Nachschlagewerk genutzt werden, ohne Unterrichtsinhalte zu duplizieren.</w:t>
      </w:r>
    </w:p>
    <w:p>
      <w:pPr>
        <w:pStyle w:val="BodyText"/>
      </w:pPr>
      <w:r>
        <w:t xml:space="preserve">Fachkapitel konzentrieren sich auf informatische Konzepte und verweisen bei Bedarf auf die Grundlagen.</w:t>
      </w:r>
    </w:p>
    <w:bookmarkEnd w:id="33"/>
    <w:bookmarkEnd w:id="34"/>
    <w:bookmarkStart w:id="39" w:name="X88becfb713915f705147e13eaf323fd2398792a"/>
    <w:p>
      <w:pPr>
        <w:pStyle w:val="Heading1"/>
      </w:pPr>
      <w:r>
        <w:t xml:space="preserve">ADR-0003 – Arbeitsheft und Lehrerband werden getrennt</w:t>
      </w:r>
    </w:p>
    <w:bookmarkStart w:id="35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5"/>
    <w:bookmarkStart w:id="36" w:name="kontext-2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Schülerinnen und Schüler benötigen verständliche Lerntexte und Aufgaben. Lehrkräfte benötigen zusätzlich Zeitplanung, Lösungen, didaktische Hinweise, Differenzierung und typische Fehlvorstellungen.</w:t>
      </w:r>
    </w:p>
    <w:bookmarkEnd w:id="36"/>
    <w:bookmarkStart w:id="37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Arbeitsheft und Lehrerband werden als getrennte Werkteile geführt.</w:t>
      </w:r>
    </w:p>
    <w:p>
      <w:pPr>
        <w:pStyle w:val="BodyText"/>
      </w:pPr>
      <w:r>
        <w:t xml:space="preserve">Wo sinnvoll, verwenden beide dieselben oder eindeutig zuordenbare Dateinamen.</w:t>
      </w:r>
    </w:p>
    <w:p>
      <w:pPr>
        <w:pStyle w:val="BodyText"/>
      </w:pPr>
      <w:r>
        <w:t xml:space="preserve">Das Arbeitsheft spricht direkt die Lernenden an.</w:t>
      </w:r>
    </w:p>
    <w:p>
      <w:pPr>
        <w:pStyle w:val="BodyText"/>
      </w:pPr>
      <w:r>
        <w:t xml:space="preserve">Der Lehrerband enthält insbesondere:</w:t>
      </w:r>
    </w:p>
    <w:p>
      <w:pPr>
        <w:numPr>
          <w:ilvl w:val="0"/>
          <w:numId w:val="1005"/>
        </w:numPr>
        <w:pStyle w:val="Compact"/>
      </w:pPr>
      <w:r>
        <w:t xml:space="preserve">Lernziele</w:t>
      </w:r>
    </w:p>
    <w:p>
      <w:pPr>
        <w:numPr>
          <w:ilvl w:val="0"/>
          <w:numId w:val="1005"/>
        </w:numPr>
        <w:pStyle w:val="Compact"/>
      </w:pPr>
      <w:r>
        <w:t xml:space="preserve">Zeitbedarf</w:t>
      </w:r>
    </w:p>
    <w:p>
      <w:pPr>
        <w:numPr>
          <w:ilvl w:val="0"/>
          <w:numId w:val="1005"/>
        </w:numPr>
        <w:pStyle w:val="Compact"/>
      </w:pPr>
      <w:r>
        <w:t xml:space="preserve">Sozialform</w:t>
      </w:r>
    </w:p>
    <w:p>
      <w:pPr>
        <w:numPr>
          <w:ilvl w:val="0"/>
          <w:numId w:val="1005"/>
        </w:numPr>
        <w:pStyle w:val="Compact"/>
      </w:pPr>
      <w:r>
        <w:t xml:space="preserve">Materialien</w:t>
      </w:r>
    </w:p>
    <w:p>
      <w:pPr>
        <w:numPr>
          <w:ilvl w:val="0"/>
          <w:numId w:val="1005"/>
        </w:numPr>
        <w:pStyle w:val="Compact"/>
      </w:pPr>
      <w:r>
        <w:t xml:space="preserve">Unterrichtsverlauf</w:t>
      </w:r>
    </w:p>
    <w:p>
      <w:pPr>
        <w:numPr>
          <w:ilvl w:val="0"/>
          <w:numId w:val="1005"/>
        </w:numPr>
        <w:pStyle w:val="Compact"/>
      </w:pPr>
      <w:r>
        <w:t xml:space="preserve">mögliche Schülerantworten</w:t>
      </w:r>
    </w:p>
    <w:p>
      <w:pPr>
        <w:numPr>
          <w:ilvl w:val="0"/>
          <w:numId w:val="1005"/>
        </w:numPr>
        <w:pStyle w:val="Compact"/>
      </w:pPr>
      <w:r>
        <w:t xml:space="preserve">typische Schwierigkeiten</w:t>
      </w:r>
    </w:p>
    <w:p>
      <w:pPr>
        <w:numPr>
          <w:ilvl w:val="0"/>
          <w:numId w:val="1005"/>
        </w:numPr>
        <w:pStyle w:val="Compact"/>
      </w:pPr>
      <w:r>
        <w:t xml:space="preserve">Differenzierung</w:t>
      </w:r>
    </w:p>
    <w:p>
      <w:pPr>
        <w:numPr>
          <w:ilvl w:val="0"/>
          <w:numId w:val="1005"/>
        </w:numPr>
        <w:pStyle w:val="Compact"/>
      </w:pPr>
      <w:r>
        <w:t xml:space="preserve">Lösungen</w:t>
      </w:r>
    </w:p>
    <w:p>
      <w:pPr>
        <w:numPr>
          <w:ilvl w:val="0"/>
          <w:numId w:val="1005"/>
        </w:numPr>
        <w:pStyle w:val="Compact"/>
      </w:pPr>
      <w:r>
        <w:t xml:space="preserve">Hinweise aus der Unterrichtspraxis</w:t>
      </w:r>
    </w:p>
    <w:bookmarkEnd w:id="37"/>
    <w:bookmarkStart w:id="38" w:name="konsequenzen-2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Schülertexte bleiben schlank und verständlich.</w:t>
      </w:r>
    </w:p>
    <w:p>
      <w:pPr>
        <w:pStyle w:val="BodyText"/>
      </w:pPr>
      <w:r>
        <w:t xml:space="preserve">Lehrkräfte erhalten zusätzliche Unterstützung, ohne dass diese Informationen das Arbeitsheft überladen.</w:t>
      </w:r>
    </w:p>
    <w:bookmarkEnd w:id="38"/>
    <w:bookmarkEnd w:id="39"/>
    <w:bookmarkStart w:id="44" w:name="adr-0004-problemorientierte-didaktik"/>
    <w:p>
      <w:pPr>
        <w:pStyle w:val="Heading1"/>
      </w:pPr>
      <w:r>
        <w:t xml:space="preserve">ADR-0004 – Problemorientierte Didaktik</w:t>
      </w:r>
    </w:p>
    <w:bookmarkStart w:id="40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40"/>
    <w:bookmarkStart w:id="41" w:name="kontext-3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Das Lehrwerk soll nicht primär Programmiersprachen vermitteln, sondern systematisches und informatisches Denken fördern.</w:t>
      </w:r>
    </w:p>
    <w:bookmarkEnd w:id="41"/>
    <w:bookmarkStart w:id="42" w:name="entscheidung-3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Neue Inhalte werden möglichst aus einem Problem oder einer konkreten Situation entwickelt.</w:t>
      </w:r>
    </w:p>
    <w:p>
      <w:pPr>
        <w:pStyle w:val="BodyText"/>
      </w:pPr>
      <w:r>
        <w:t xml:space="preserve">Die typische Lernbewegung lautet:</w:t>
      </w:r>
    </w:p>
    <w:p>
      <w:pPr>
        <w:numPr>
          <w:ilvl w:val="0"/>
          <w:numId w:val="1006"/>
        </w:numPr>
        <w:pStyle w:val="Compact"/>
      </w:pPr>
      <w:r>
        <w:t xml:space="preserve">Problem verstehen</w:t>
      </w:r>
    </w:p>
    <w:p>
      <w:pPr>
        <w:numPr>
          <w:ilvl w:val="0"/>
          <w:numId w:val="1006"/>
        </w:numPr>
        <w:pStyle w:val="Compact"/>
      </w:pPr>
      <w:r>
        <w:t xml:space="preserve">Beobachten und analysieren</w:t>
      </w:r>
    </w:p>
    <w:p>
      <w:pPr>
        <w:numPr>
          <w:ilvl w:val="0"/>
          <w:numId w:val="1006"/>
        </w:numPr>
        <w:pStyle w:val="Compact"/>
      </w:pPr>
      <w:r>
        <w:t xml:space="preserve">Lösungsideen entwickeln</w:t>
      </w:r>
    </w:p>
    <w:p>
      <w:pPr>
        <w:numPr>
          <w:ilvl w:val="0"/>
          <w:numId w:val="1006"/>
        </w:numPr>
        <w:pStyle w:val="Compact"/>
      </w:pPr>
      <w:r>
        <w:t xml:space="preserve">Algorithmus formulieren</w:t>
      </w:r>
    </w:p>
    <w:p>
      <w:pPr>
        <w:numPr>
          <w:ilvl w:val="0"/>
          <w:numId w:val="1006"/>
        </w:numPr>
        <w:pStyle w:val="Compact"/>
      </w:pPr>
      <w:r>
        <w:t xml:space="preserve">Darstellung oder Werkzeug wählen</w:t>
      </w:r>
    </w:p>
    <w:p>
      <w:pPr>
        <w:numPr>
          <w:ilvl w:val="0"/>
          <w:numId w:val="1006"/>
        </w:numPr>
        <w:pStyle w:val="Compact"/>
      </w:pPr>
      <w:r>
        <w:t xml:space="preserve">Umsetzen</w:t>
      </w:r>
    </w:p>
    <w:p>
      <w:pPr>
        <w:numPr>
          <w:ilvl w:val="0"/>
          <w:numId w:val="1006"/>
        </w:numPr>
        <w:pStyle w:val="Compact"/>
      </w:pPr>
      <w:r>
        <w:t xml:space="preserve">Testen</w:t>
      </w:r>
    </w:p>
    <w:p>
      <w:pPr>
        <w:numPr>
          <w:ilvl w:val="0"/>
          <w:numId w:val="1006"/>
        </w:numPr>
        <w:pStyle w:val="Compact"/>
      </w:pPr>
      <w:r>
        <w:t xml:space="preserve">Verbessern</w:t>
      </w:r>
    </w:p>
    <w:p>
      <w:pPr>
        <w:numPr>
          <w:ilvl w:val="0"/>
          <w:numId w:val="1006"/>
        </w:numPr>
        <w:pStyle w:val="Compact"/>
      </w:pPr>
      <w:r>
        <w:t xml:space="preserve">Reflektieren und übertragen</w:t>
      </w:r>
    </w:p>
    <w:p>
      <w:pPr>
        <w:pStyle w:val="FirstParagraph"/>
      </w:pPr>
      <w:r>
        <w:t xml:space="preserve">Definitionen und Fachbegriffe werden nach Möglichkeit erst eingeführt, nachdem die zugrunde liegende Idee verstanden wurde.</w:t>
      </w:r>
    </w:p>
    <w:bookmarkEnd w:id="42"/>
    <w:bookmarkStart w:id="43" w:name="konsequenzen-3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Das Lehrwerk benötigt weniger reine Syntaxübungen und mehr Aufgaben zum Analysieren, Begründen, Testen und Verbessern.</w:t>
      </w:r>
    </w:p>
    <w:p>
      <w:pPr>
        <w:pStyle w:val="BodyText"/>
      </w:pPr>
      <w:r>
        <w:t xml:space="preserve">Der Unterricht bleibt modular: Pflichtinhalte können knapp behandelt werden, Zusatzinformationen stehen für Vertiefung bereit.</w:t>
      </w:r>
    </w:p>
    <w:bookmarkEnd w:id="43"/>
    <w:bookmarkEnd w:id="44"/>
    <w:bookmarkStart w:id="49" w:name="X643348622ba0c2d5e8b07acc783f9875394ea1a"/>
    <w:p>
      <w:pPr>
        <w:pStyle w:val="Heading1"/>
      </w:pPr>
      <w:r>
        <w:t xml:space="preserve">ADR-0005 – Programmiersprachen sind Werkzeuge</w:t>
      </w:r>
    </w:p>
    <w:bookmarkStart w:id="45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45"/>
    <w:bookmarkStart w:id="46" w:name="kontext-4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Algorithmen und Problemlösungsstrategien sind nicht an eine bestimmte Programmiersprache gebunden.</w:t>
      </w:r>
    </w:p>
    <w:bookmarkEnd w:id="46"/>
    <w:bookmarkStart w:id="47" w:name="entscheidung-4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Das Lehrwerk trennt konsequent zwischen Problem, Algorithmus und Umsetzung.</w:t>
      </w:r>
    </w:p>
    <w:p>
      <w:pPr>
        <w:pStyle w:val="BodyText"/>
      </w:pPr>
      <w:r>
        <w:t xml:space="preserve">Programmiersprachen sind Wege zur Umsetzung eines Algorithmus.</w:t>
      </w:r>
    </w:p>
    <w:p>
      <w:pPr>
        <w:pStyle w:val="BodyText"/>
      </w:pPr>
      <w:r>
        <w:t xml:space="preserve">Scratch und Python werden bevorzugt eingesetzt, weil sie unterschiedliche Darstellungsformen sichtbar machen:</w:t>
      </w:r>
    </w:p>
    <w:p>
      <w:pPr>
        <w:numPr>
          <w:ilvl w:val="0"/>
          <w:numId w:val="1007"/>
        </w:numPr>
        <w:pStyle w:val="Compact"/>
      </w:pPr>
      <w:r>
        <w:t xml:space="preserve">Scratch: blockbasiert</w:t>
      </w:r>
    </w:p>
    <w:p>
      <w:pPr>
        <w:numPr>
          <w:ilvl w:val="0"/>
          <w:numId w:val="1007"/>
        </w:numPr>
        <w:pStyle w:val="Compact"/>
      </w:pPr>
      <w:r>
        <w:t xml:space="preserve">Python: textbasiert</w:t>
      </w:r>
    </w:p>
    <w:p>
      <w:pPr>
        <w:pStyle w:val="FirstParagraph"/>
      </w:pPr>
      <w:r>
        <w:t xml:space="preserve">Die zugrunde liegenden Konzepte sollen so formuliert werden, dass sie auch auf andere Sprachen wie BASIC, VBA, Java oder C# übertragbar bleiben.</w:t>
      </w:r>
    </w:p>
    <w:bookmarkEnd w:id="47"/>
    <w:bookmarkStart w:id="48" w:name="konsequenzen-4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Syntax wird nur eingeführt, wenn sie für eine konkrete Lösung benötigt wird.</w:t>
      </w:r>
    </w:p>
    <w:p>
      <w:pPr>
        <w:pStyle w:val="BodyText"/>
      </w:pPr>
      <w:r>
        <w:t xml:space="preserve">Formulierungen wie „Lerne Python“ werden möglichst vermieden. Stattdessen wird ein Algorithmus „in Python umgesetzt“ oder „mit Python dargestellt“.</w:t>
      </w:r>
    </w:p>
    <w:p>
      <w:pPr>
        <w:pStyle w:val="BodyText"/>
      </w:pPr>
      <w:r>
        <w:t xml:space="preserve">Bei späteren Themen wie Objektorientierung kann die Wahl der Sprache stärker fachlich relevant werden.</w:t>
      </w:r>
    </w:p>
    <w:bookmarkEnd w:id="48"/>
    <w:bookmarkEnd w:id="49"/>
    <w:bookmarkStart w:id="54" w:name="Xa4795b3b120fb340d846028b10c5a1798059989"/>
    <w:p>
      <w:pPr>
        <w:pStyle w:val="Heading1"/>
      </w:pPr>
      <w:r>
        <w:t xml:space="preserve">ADR-0006 – Iterativ-inkrementelles Arbeiten</w:t>
      </w:r>
    </w:p>
    <w:bookmarkStart w:id="50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50"/>
    <w:bookmarkStart w:id="51" w:name="kontext-5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Problemlösungen und Programme entstehen selten im ersten Versuch vollständig und fehlerfrei.</w:t>
      </w:r>
    </w:p>
    <w:bookmarkEnd w:id="51"/>
    <w:bookmarkStart w:id="52" w:name="entscheidung-5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Das Lehrwerk vermittelt von Beginn an einen iterativ-inkrementellen Entwicklungsprozess.</w:t>
      </w:r>
    </w:p>
    <w:p>
      <w:pPr>
        <w:pStyle w:val="BodyText"/>
      </w:pPr>
      <w:r>
        <w:t xml:space="preserve">Iterativ bedeutet:</w:t>
      </w:r>
    </w:p>
    <w:p>
      <w:pPr>
        <w:numPr>
          <w:ilvl w:val="0"/>
          <w:numId w:val="1008"/>
        </w:numPr>
        <w:pStyle w:val="Compact"/>
      </w:pPr>
      <w:r>
        <w:t xml:space="preserve">entwickeln</w:t>
      </w:r>
    </w:p>
    <w:p>
      <w:pPr>
        <w:numPr>
          <w:ilvl w:val="0"/>
          <w:numId w:val="1008"/>
        </w:numPr>
        <w:pStyle w:val="Compact"/>
      </w:pPr>
      <w:r>
        <w:t xml:space="preserve">testen</w:t>
      </w:r>
    </w:p>
    <w:p>
      <w:pPr>
        <w:numPr>
          <w:ilvl w:val="0"/>
          <w:numId w:val="1008"/>
        </w:numPr>
        <w:pStyle w:val="Compact"/>
      </w:pPr>
      <w:r>
        <w:t xml:space="preserve">analysieren</w:t>
      </w:r>
    </w:p>
    <w:p>
      <w:pPr>
        <w:numPr>
          <w:ilvl w:val="0"/>
          <w:numId w:val="1008"/>
        </w:numPr>
        <w:pStyle w:val="Compact"/>
      </w:pPr>
      <w:r>
        <w:t xml:space="preserve">verbessern</w:t>
      </w:r>
    </w:p>
    <w:p>
      <w:pPr>
        <w:numPr>
          <w:ilvl w:val="0"/>
          <w:numId w:val="1008"/>
        </w:numPr>
        <w:pStyle w:val="Compact"/>
      </w:pPr>
      <w:r>
        <w:t xml:space="preserve">erneut testen</w:t>
      </w:r>
    </w:p>
    <w:p>
      <w:pPr>
        <w:pStyle w:val="FirstParagraph"/>
      </w:pPr>
      <w:r>
        <w:t xml:space="preserve">Inkrementell bedeutet:</w:t>
      </w:r>
    </w:p>
    <w:p>
      <w:pPr>
        <w:numPr>
          <w:ilvl w:val="0"/>
          <w:numId w:val="1009"/>
        </w:numPr>
        <w:pStyle w:val="Compact"/>
      </w:pPr>
      <w:r>
        <w:t xml:space="preserve">mit einer kleinen funktionsfähigen Lösung beginnen</w:t>
      </w:r>
    </w:p>
    <w:p>
      <w:pPr>
        <w:numPr>
          <w:ilvl w:val="0"/>
          <w:numId w:val="1009"/>
        </w:numPr>
        <w:pStyle w:val="Compact"/>
      </w:pPr>
      <w:r>
        <w:t xml:space="preserve">Funktionen schrittweise ergänzen</w:t>
      </w:r>
    </w:p>
    <w:bookmarkEnd w:id="52"/>
    <w:bookmarkStart w:id="53" w:name="konsequenzen-5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Fehler werden als Lerngelegenheiten behandelt.</w:t>
      </w:r>
    </w:p>
    <w:p>
      <w:pPr>
        <w:pStyle w:val="BodyText"/>
      </w:pPr>
      <w:r>
        <w:t xml:space="preserve">Aufgaben verlangen regelmäßig, dass Lernende Lösungen testen, vergleichen und verbessern.</w:t>
      </w:r>
    </w:p>
    <w:p>
      <w:pPr>
        <w:pStyle w:val="BodyText"/>
      </w:pPr>
      <w:r>
        <w:t xml:space="preserve">Musterlösungen dürfen mehrere sinnvolle Lösungswege zeigen.</w:t>
      </w:r>
    </w:p>
    <w:bookmarkEnd w:id="53"/>
    <w:bookmarkEnd w:id="54"/>
    <w:bookmarkStart w:id="59" w:name="adr-0007-kai-als-didaktischer-begleiter"/>
    <w:p>
      <w:pPr>
        <w:pStyle w:val="Heading1"/>
      </w:pPr>
      <w:r>
        <w:t xml:space="preserve">ADR-0007 – KAI als didaktischer Begleiter</w:t>
      </w:r>
    </w:p>
    <w:bookmarkStart w:id="55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55"/>
    <w:bookmarkStart w:id="56" w:name="kontext-6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Abstrakte Eigenschaften von Computern und Algorithmen sind für Lernende leichter verständlich, wenn konsequentes maschinelles Verhalten sichtbar gemacht wird.</w:t>
      </w:r>
    </w:p>
    <w:bookmarkEnd w:id="56"/>
    <w:bookmarkStart w:id="57" w:name="entscheidung-6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KAI ist ein wiederkehrender Lernroboter.</w:t>
      </w:r>
    </w:p>
    <w:p>
      <w:pPr>
        <w:pStyle w:val="BodyText"/>
      </w:pPr>
      <w:r>
        <w:t xml:space="preserve">KAI:</w:t>
      </w:r>
    </w:p>
    <w:p>
      <w:pPr>
        <w:numPr>
          <w:ilvl w:val="0"/>
          <w:numId w:val="1010"/>
        </w:numPr>
        <w:pStyle w:val="Compact"/>
      </w:pPr>
      <w:r>
        <w:t xml:space="preserve">führt Anweisungen exakt aus</w:t>
      </w:r>
    </w:p>
    <w:p>
      <w:pPr>
        <w:numPr>
          <w:ilvl w:val="0"/>
          <w:numId w:val="1010"/>
        </w:numPr>
        <w:pStyle w:val="Compact"/>
      </w:pPr>
      <w:r>
        <w:t xml:space="preserve">ergänzt keine fehlenden Informationen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fragt bei Mehrdeutigkeiten nach</w:t>
      </w:r>
    </w:p>
    <w:p>
      <w:pPr>
        <w:numPr>
          <w:ilvl w:val="0"/>
          <w:numId w:val="1010"/>
        </w:numPr>
        <w:pStyle w:val="Compact"/>
      </w:pPr>
      <w:r>
        <w:t xml:space="preserve">macht Denkfehler in Anweisungen sichtbar</w:t>
      </w:r>
    </w:p>
    <w:p>
      <w:pPr>
        <w:pStyle w:val="FirstParagraph"/>
      </w:pPr>
      <w:r>
        <w:t xml:space="preserve">KAI wird nur eingesetzt, wenn ein didaktischer Mehrwert besteht.</w:t>
      </w:r>
    </w:p>
    <w:bookmarkEnd w:id="57"/>
    <w:bookmarkStart w:id="58" w:name="konsequenzen-6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KAI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Rollenspiele</w:t>
      </w:r>
    </w:p>
    <w:p>
      <w:pPr>
        <w:numPr>
          <w:ilvl w:val="0"/>
          <w:numId w:val="1011"/>
        </w:numPr>
        <w:pStyle w:val="Compact"/>
      </w:pPr>
      <w:r>
        <w:t xml:space="preserve">Fehlersuche</w:t>
      </w:r>
    </w:p>
    <w:p>
      <w:pPr>
        <w:numPr>
          <w:ilvl w:val="0"/>
          <w:numId w:val="1011"/>
        </w:numPr>
        <w:pStyle w:val="Compact"/>
      </w:pPr>
      <w:r>
        <w:t xml:space="preserve">Algorithmen</w:t>
      </w:r>
    </w:p>
    <w:p>
      <w:pPr>
        <w:numPr>
          <w:ilvl w:val="0"/>
          <w:numId w:val="1011"/>
        </w:numPr>
        <w:pStyle w:val="Compact"/>
      </w:pPr>
      <w:r>
        <w:t xml:space="preserve">Verzweigungen</w:t>
      </w:r>
    </w:p>
    <w:p>
      <w:pPr>
        <w:numPr>
          <w:ilvl w:val="0"/>
          <w:numId w:val="1011"/>
        </w:numPr>
        <w:pStyle w:val="Compact"/>
      </w:pPr>
      <w:r>
        <w:t xml:space="preserve">Wiederholungen</w:t>
      </w:r>
    </w:p>
    <w:p>
      <w:pPr>
        <w:numPr>
          <w:ilvl w:val="0"/>
          <w:numId w:val="1011"/>
        </w:numPr>
        <w:pStyle w:val="Compact"/>
      </w:pPr>
      <w:r>
        <w:t xml:space="preserve">Variablen</w:t>
      </w:r>
    </w:p>
    <w:p>
      <w:pPr>
        <w:numPr>
          <w:ilvl w:val="0"/>
          <w:numId w:val="1011"/>
        </w:numPr>
        <w:pStyle w:val="Compact"/>
      </w:pPr>
      <w:r>
        <w:t xml:space="preserve">Debugging</w:t>
      </w:r>
    </w:p>
    <w:p>
      <w:pPr>
        <w:pStyle w:val="FirstParagraph"/>
      </w:pPr>
      <w:r>
        <w:t xml:space="preserve">KAI ist keine reine Comicfigur und soll nicht kindlich wirken.</w:t>
      </w:r>
    </w:p>
    <w:bookmarkEnd w:id="58"/>
    <w:bookmarkEnd w:id="59"/>
    <w:bookmarkStart w:id="64" w:name="adr-0008-evas-als-bekanntes-grundmodell"/>
    <w:p>
      <w:pPr>
        <w:pStyle w:val="Heading1"/>
      </w:pPr>
      <w:r>
        <w:t xml:space="preserve">ADR-0008 – EVAS als bekanntes Grundmodell</w:t>
      </w:r>
    </w:p>
    <w:bookmarkStart w:id="60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60"/>
    <w:bookmarkStart w:id="61" w:name="kontext-7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Die Lernenden kennen das EVAS-Prinzip bereits aus einer vorherigen Klassenstufe.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2"/>
        </w:numPr>
        <w:pStyle w:val="Compact"/>
      </w:pPr>
      <w:r>
        <w:t xml:space="preserve">Eingabe</w:t>
      </w:r>
    </w:p>
    <w:p>
      <w:pPr>
        <w:numPr>
          <w:ilvl w:val="0"/>
          <w:numId w:val="1012"/>
        </w:numPr>
        <w:pStyle w:val="Compact"/>
      </w:pPr>
      <w:r>
        <w:t xml:space="preserve">Verarbeitung</w:t>
      </w:r>
    </w:p>
    <w:p>
      <w:pPr>
        <w:numPr>
          <w:ilvl w:val="0"/>
          <w:numId w:val="1012"/>
        </w:numPr>
        <w:pStyle w:val="Compact"/>
      </w:pPr>
      <w:r>
        <w:t xml:space="preserve">Ausgabe</w:t>
      </w:r>
    </w:p>
    <w:p>
      <w:pPr>
        <w:numPr>
          <w:ilvl w:val="0"/>
          <w:numId w:val="1012"/>
        </w:numPr>
        <w:pStyle w:val="Compact"/>
      </w:pPr>
      <w:r>
        <w:t xml:space="preserve">Speicherung</w:t>
      </w:r>
    </w:p>
    <w:bookmarkEnd w:id="61"/>
    <w:bookmarkStart w:id="62" w:name="entscheidung-7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EVAS wird als bekanntes Grundmodell vorausgesetzt und bei Bedarf aktiviert.</w:t>
      </w:r>
    </w:p>
    <w:p>
      <w:pPr>
        <w:pStyle w:val="BodyText"/>
      </w:pPr>
      <w:r>
        <w:t xml:space="preserve">Es wird in höheren Klassenstufen nicht jedes Mal vollständig neu eingeführt.</w:t>
      </w:r>
    </w:p>
    <w:p>
      <w:pPr>
        <w:pStyle w:val="BodyText"/>
      </w:pPr>
      <w:r>
        <w:t xml:space="preserve">Bei der Algorithmierung liegt der Schwerpunkt insbesondere auf der Verarbeitung und den dazugehörigen Algorithmen.</w:t>
      </w:r>
    </w:p>
    <w:bookmarkEnd w:id="62"/>
    <w:bookmarkStart w:id="63" w:name="konsequenzen-7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Wiederholungen werden reduziert.</w:t>
      </w:r>
    </w:p>
    <w:p>
      <w:pPr>
        <w:pStyle w:val="BodyText"/>
      </w:pPr>
      <w:r>
        <w:t xml:space="preserve">Neue Inhalte werden mit vorhandenem Wissen vernetzt.</w:t>
      </w:r>
    </w:p>
    <w:p>
      <w:pPr>
        <w:pStyle w:val="BodyText"/>
      </w:pPr>
      <w:r>
        <w:t xml:space="preserve">Im Grundlagenbereich steht eine vollständige EVAS-Erklärung als Nachschlagewerk zur Verfügung.</w:t>
      </w:r>
    </w:p>
    <w:bookmarkEnd w:id="63"/>
    <w:bookmarkEnd w:id="64"/>
    <w:bookmarkStart w:id="69" w:name="adr-0009-markdown-und-modulare-dateien"/>
    <w:p>
      <w:pPr>
        <w:pStyle w:val="Heading1"/>
      </w:pPr>
      <w:r>
        <w:t xml:space="preserve">ADR-0009 – Markdown und modulare Dateien</w:t>
      </w:r>
    </w:p>
    <w:bookmarkStart w:id="65" w:name="status-8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65"/>
    <w:bookmarkStart w:id="66" w:name="kontext-8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Das Lehrwerk soll offen, versionsfähig und leicht überarbeitbar sein.</w:t>
      </w:r>
    </w:p>
    <w:bookmarkEnd w:id="66"/>
    <w:bookmarkStart w:id="67" w:name="entscheidung-8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Textinhalte werden bevorzugt in Markdown gepflegt.</w:t>
      </w:r>
    </w:p>
    <w:p>
      <w:pPr>
        <w:pStyle w:val="BodyText"/>
      </w:pPr>
      <w:r>
        <w:t xml:space="preserve">Größere Werkteile werden in fachlich sinnvolle Einzeldateien aufgeteilt.</w:t>
      </w:r>
    </w:p>
    <w:p>
      <w:pPr>
        <w:pStyle w:val="BodyText"/>
      </w:pPr>
      <w:r>
        <w:t xml:space="preserve">Dateien sollen:</w:t>
      </w:r>
    </w:p>
    <w:p>
      <w:pPr>
        <w:numPr>
          <w:ilvl w:val="0"/>
          <w:numId w:val="1013"/>
        </w:numPr>
        <w:pStyle w:val="Compact"/>
      </w:pPr>
      <w:r>
        <w:t xml:space="preserve">unabhängig verständlich sein</w:t>
      </w:r>
    </w:p>
    <w:p>
      <w:pPr>
        <w:numPr>
          <w:ilvl w:val="0"/>
          <w:numId w:val="1013"/>
        </w:numPr>
        <w:pStyle w:val="Compact"/>
      </w:pPr>
      <w:r>
        <w:t xml:space="preserve">klar benannt sein</w:t>
      </w:r>
    </w:p>
    <w:p>
      <w:pPr>
        <w:numPr>
          <w:ilvl w:val="0"/>
          <w:numId w:val="1013"/>
        </w:numPr>
        <w:pStyle w:val="Compact"/>
      </w:pPr>
      <w:r>
        <w:t xml:space="preserve">gezielt ersetzt werden können</w:t>
      </w:r>
    </w:p>
    <w:p>
      <w:pPr>
        <w:numPr>
          <w:ilvl w:val="0"/>
          <w:numId w:val="1013"/>
        </w:numPr>
        <w:pStyle w:val="Compact"/>
      </w:pPr>
      <w:r>
        <w:t xml:space="preserve">mit Git sinnvoll diffbar sein</w:t>
      </w:r>
    </w:p>
    <w:bookmarkEnd w:id="67"/>
    <w:bookmarkStart w:id="68" w:name="konsequenzen-8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Qualitätssicherung kann einzelne Dateien oder Abschnitte austauschen, ohne komplette Dokumente neu erzeugen zu müssen.</w:t>
      </w:r>
    </w:p>
    <w:p>
      <w:pPr>
        <w:pStyle w:val="BodyText"/>
      </w:pPr>
      <w:r>
        <w:t xml:space="preserve">Spätere Exporte nach PDF, HTML oder DOCX können automatisiert werden.</w:t>
      </w:r>
    </w:p>
    <w:bookmarkEnd w:id="68"/>
    <w:bookmarkEnd w:id="69"/>
    <w:bookmarkStart w:id="74" w:name="X144e0cbe1ca3660b08ea821310f5d8bd79f6667"/>
    <w:p>
      <w:pPr>
        <w:pStyle w:val="Heading1"/>
      </w:pPr>
      <w:r>
        <w:t xml:space="preserve">ADR-0010 – Repository als Single Source of Truth</w:t>
      </w:r>
    </w:p>
    <w:bookmarkStart w:id="70" w:name="status-9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70"/>
    <w:bookmarkStart w:id="71" w:name="kontext-9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Während der Entwicklung entstehen viele Dateien und Versionen. Doppelarbeit und widersprüchliche Strukturen müssen vermieden werden.</w:t>
      </w:r>
    </w:p>
    <w:bookmarkEnd w:id="71"/>
    <w:bookmarkStart w:id="72" w:name="entscheidung-9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Der aktuelle Stand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die verbindliche Referenz für die weitere Entwicklung.</w:t>
      </w:r>
    </w:p>
    <w:p>
      <w:pPr>
        <w:pStyle w:val="BodyText"/>
      </w:pPr>
      <w:r>
        <w:t xml:space="preserve">Vor neuen Arbeitspaketen wird geprüft:</w:t>
      </w:r>
    </w:p>
    <w:p>
      <w:pPr>
        <w:numPr>
          <w:ilvl w:val="0"/>
          <w:numId w:val="1014"/>
        </w:numPr>
        <w:pStyle w:val="Compact"/>
      </w:pPr>
      <w:r>
        <w:t xml:space="preserve">Was existiert bereits?</w:t>
      </w:r>
    </w:p>
    <w:p>
      <w:pPr>
        <w:numPr>
          <w:ilvl w:val="0"/>
          <w:numId w:val="1014"/>
        </w:numPr>
        <w:pStyle w:val="Compact"/>
      </w:pPr>
      <w:r>
        <w:t xml:space="preserve">Was fehlt?</w:t>
      </w:r>
    </w:p>
    <w:p>
      <w:pPr>
        <w:numPr>
          <w:ilvl w:val="0"/>
          <w:numId w:val="1014"/>
        </w:numPr>
        <w:pStyle w:val="Compact"/>
      </w:pPr>
      <w:r>
        <w:t xml:space="preserve">Was ist unvollständig?</w:t>
      </w:r>
    </w:p>
    <w:p>
      <w:pPr>
        <w:numPr>
          <w:ilvl w:val="0"/>
          <w:numId w:val="1014"/>
        </w:numPr>
        <w:pStyle w:val="Compact"/>
      </w:pPr>
      <w:r>
        <w:t xml:space="preserve">Gibt es offensichtliche Inkonsistenzen?</w:t>
      </w:r>
    </w:p>
    <w:p>
      <w:pPr>
        <w:pStyle w:val="FirstParagraph"/>
      </w:pPr>
      <w:r>
        <w:t xml:space="preserve">Neue Inhalte werden nur ergänzt, wenn sie im aktuellen Repository fehlen oder bewusst überarbeitet werden sollen.</w:t>
      </w:r>
    </w:p>
    <w:bookmarkEnd w:id="72"/>
    <w:bookmarkStart w:id="73" w:name="konsequenzen-9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Der Entwicklungsprozess bleibt nachvollziehbar.</w:t>
      </w:r>
    </w:p>
    <w:p>
      <w:pPr>
        <w:pStyle w:val="BodyText"/>
      </w:pPr>
      <w:r>
        <w:t xml:space="preserve">Nach abgeschlossenen Kapiteln wird der aktuelle Stand gepusht.</w:t>
      </w:r>
    </w:p>
    <w:p>
      <w:pPr>
        <w:pStyle w:val="BodyText"/>
      </w:pPr>
      <w:r>
        <w:t xml:space="preserve">Reviews und Qualitätskorrekturen erfolgen auf Basis der vorhandenen Markdown-Dateien.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2026-08-09T16:04:39Z</dcterms:created>
  <dcterms:modified xsi:type="dcterms:W3CDTF">2026-08-09T16:04:39Z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