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7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8" w:name="X043c1869d439f54c27b39d30d98d85aca947a8e"/>
    <w:p>
      <w:pPr>
        <w:pStyle w:val="Heading1"/>
      </w:pPr>
      <w:r>
        <w:t xml:space="preserve">Lehrerband – 01 bis 03 Daten und Darstellungen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Drei Einzelstunden à 45 Minuten.</w:t>
      </w:r>
    </w:p>
    <w:bookmarkEnd w:id="20"/>
    <w:bookmarkStart w:id="21" w:name="stunde-1-information-oder-daten"/>
    <w:p>
      <w:pPr>
        <w:pStyle w:val="Heading2"/>
      </w:pPr>
      <w:r>
        <w:t xml:space="preserve">Stunde 1 – Information oder Daten?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Sind Daten und Informationen dasselbe?</w:t>
      </w:r>
    </w:p>
    <w:p>
      <w:pPr>
        <w:numPr>
          <w:ilvl w:val="0"/>
          <w:numId w:val="1001"/>
        </w:numPr>
        <w:pStyle w:val="Compact"/>
      </w:pPr>
      <w:r>
        <w:t xml:space="preserve">Rückblick: digitale Darstellungen aus dem ersten Lernbereich</w:t>
      </w:r>
    </w:p>
    <w:p>
      <w:pPr>
        <w:numPr>
          <w:ilvl w:val="0"/>
          <w:numId w:val="1001"/>
        </w:numPr>
        <w:pStyle w:val="Compact"/>
      </w:pPr>
      <w:r>
        <w:t xml:space="preserve">Einstieg mit dem isolierten Wert</w:t>
      </w:r>
      <w:r>
        <w:t xml:space="preserve"> </w:t>
      </w:r>
      <w:r>
        <w:rPr>
          <w:rStyle w:val="VerbatimChar"/>
        </w:rPr>
        <w:t xml:space="preserve">18</w:t>
      </w:r>
    </w:p>
    <w:p>
      <w:pPr>
        <w:numPr>
          <w:ilvl w:val="0"/>
          <w:numId w:val="1001"/>
        </w:numPr>
        <w:pStyle w:val="Compact"/>
      </w:pPr>
      <w:r>
        <w:t xml:space="preserve">Kontext ergänzen und Bedeutungsunterschied sichtbar machen</w:t>
      </w:r>
    </w:p>
    <w:p>
      <w:pPr>
        <w:numPr>
          <w:ilvl w:val="0"/>
          <w:numId w:val="1001"/>
        </w:numPr>
        <w:pStyle w:val="Compact"/>
      </w:pPr>
      <w:r>
        <w:t xml:space="preserve">eigene Beispiele entwickeln</w:t>
      </w:r>
    </w:p>
    <w:p>
      <w:pPr>
        <w:numPr>
          <w:ilvl w:val="0"/>
          <w:numId w:val="1001"/>
        </w:numPr>
        <w:pStyle w:val="Compact"/>
      </w:pPr>
      <w:r>
        <w:t xml:space="preserve">Sicherung: Daten = Darstellung, Information = Bedeutung im Kontext</w:t>
      </w:r>
    </w:p>
    <w:bookmarkEnd w:id="21"/>
    <w:bookmarkStart w:id="22" w:name="stunde-2-darstellungsformen"/>
    <w:p>
      <w:pPr>
        <w:pStyle w:val="Heading2"/>
      </w:pPr>
      <w:r>
        <w:t xml:space="preserve">Stunde 2 – Darstellungsformen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Welche Darstellung passt zu welcher Information?</w:t>
      </w:r>
    </w:p>
    <w:p>
      <w:pPr>
        <w:pStyle w:val="BodyText"/>
      </w:pPr>
      <w:r>
        <w:t xml:space="preserve">Verglichen werden Text, Tabelle, Diagramm, Grafik, Audio, Video und Multimedia. Nicht „die beste“ Darstellung suchen, sondern Zweck und Zielgruppe als Kriterien verwenden.</w:t>
      </w:r>
    </w:p>
    <w:bookmarkEnd w:id="22"/>
    <w:bookmarkStart w:id="23" w:name="stunde-3-digitale-medien-erstellen"/>
    <w:p>
      <w:pPr>
        <w:pStyle w:val="Heading2"/>
      </w:pPr>
      <w:r>
        <w:t xml:space="preserve">Stunde 3 – Digitale Medien erstellen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verbinden wir Inhalt, Gestaltung und Werkzeug sinnvoll?</w:t>
      </w:r>
    </w:p>
    <w:p>
      <w:pPr>
        <w:pStyle w:val="BodyText"/>
      </w:pPr>
      <w:r>
        <w:t xml:space="preserve">Schwerpunkte:</w:t>
      </w:r>
    </w:p>
    <w:p>
      <w:pPr>
        <w:numPr>
          <w:ilvl w:val="0"/>
          <w:numId w:val="1002"/>
        </w:numPr>
        <w:pStyle w:val="Compact"/>
      </w:pPr>
      <w:r>
        <w:t xml:space="preserve">Ziel und Zielgruppe</w:t>
      </w:r>
    </w:p>
    <w:p>
      <w:pPr>
        <w:numPr>
          <w:ilvl w:val="0"/>
          <w:numId w:val="1002"/>
        </w:numPr>
        <w:pStyle w:val="Compact"/>
      </w:pPr>
      <w:r>
        <w:t xml:space="preserve">Inhalt versus Design</w:t>
      </w:r>
    </w:p>
    <w:p>
      <w:pPr>
        <w:numPr>
          <w:ilvl w:val="0"/>
          <w:numId w:val="1002"/>
        </w:numPr>
        <w:pStyle w:val="Compact"/>
      </w:pPr>
      <w:r>
        <w:t xml:space="preserve">problembezogene Softwareauswahl</w:t>
      </w:r>
    </w:p>
    <w:p>
      <w:pPr>
        <w:numPr>
          <w:ilvl w:val="0"/>
          <w:numId w:val="1002"/>
        </w:numPr>
        <w:pStyle w:val="Compact"/>
      </w:pPr>
      <w:r>
        <w:t xml:space="preserve">erste Automatisierungsfunktionen in Anwendersoftware</w:t>
      </w:r>
    </w:p>
    <w:bookmarkEnd w:id="23"/>
    <w:bookmarkStart w:id="24" w:name="zeitraster-je-stunde"/>
    <w:p>
      <w:pPr>
        <w:pStyle w:val="Heading2"/>
      </w:pPr>
      <w:r>
        <w:t xml:space="preserve">Zeitraster je Stunde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Richtwert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Problem/Leitfrage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Anwendung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</w:tr>
    </w:tbl>
    <w:bookmarkEnd w:id="24"/>
    <w:bookmarkStart w:id="25" w:name="typische-fehlvorstellungen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3"/>
        </w:numPr>
        <w:pStyle w:val="Compact"/>
      </w:pPr>
      <w:r>
        <w:t xml:space="preserve">„Daten sind Zahlen.“ – Auch Texte, Bilder, Audio usw. können Daten sein.</w:t>
      </w:r>
    </w:p>
    <w:p>
      <w:pPr>
        <w:numPr>
          <w:ilvl w:val="0"/>
          <w:numId w:val="1003"/>
        </w:numPr>
        <w:pStyle w:val="Compact"/>
      </w:pPr>
      <w:r>
        <w:t xml:space="preserve">„Information ist dasselbe wie Datei.“ – Eine Datei enthält Daten; ihre Interpretation liefert Information.</w:t>
      </w:r>
    </w:p>
    <w:p>
      <w:pPr>
        <w:numPr>
          <w:ilvl w:val="0"/>
          <w:numId w:val="1003"/>
        </w:numPr>
        <w:pStyle w:val="Compact"/>
      </w:pPr>
      <w:r>
        <w:t xml:space="preserve">„Diagramme sind immer besser als Tabellen.“ – Eignung hängt von der Fragestellung ab.</w:t>
      </w:r>
    </w:p>
    <w:p>
      <w:pPr>
        <w:numPr>
          <w:ilvl w:val="0"/>
          <w:numId w:val="1003"/>
        </w:numPr>
        <w:pStyle w:val="Compact"/>
      </w:pPr>
      <w:r>
        <w:t xml:space="preserve">„Design bedeutet Dekoration.“ – Gestaltung soll Verständlichkeit und Zweck unterstützen.</w:t>
      </w:r>
    </w:p>
    <w:bookmarkEnd w:id="25"/>
    <w:bookmarkStart w:id="26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vorgegebene Beispiele zuordnen.</w:t>
      </w:r>
    </w:p>
    <w:p>
      <w:pPr>
        <w:pStyle w:val="BodyText"/>
      </w:pPr>
      <w:r>
        <w:t xml:space="preserve">Erweiterung: dieselbe Information in mehreren Medien darstellen und Vor-/Nachteile begründen.</w:t>
      </w:r>
    </w:p>
    <w:bookmarkEnd w:id="26"/>
    <w:bookmarkStart w:id="27" w:name="prüfungsrelevant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Unterschied Information/Daten, Darstellungsformen vergleichen, geeignete Software auswählen, Inhalt und Gestaltung unterscheiden.</w:t>
      </w:r>
    </w:p>
    <w:p>
      <w:r>
        <w:br w:type="page"/>
      </w:r>
    </w:p>
    <w:bookmarkEnd w:id="27"/>
    <w:bookmarkEnd w:id="28"/>
    <w:bookmarkStart w:id="35" w:name="Xebaa4d8c3a3486c0aeb30bdb8b1a1ad5e71ec49"/>
    <w:p>
      <w:pPr>
        <w:pStyle w:val="Heading1"/>
      </w:pPr>
      <w:r>
        <w:t xml:space="preserve">Lehrerband – 04 bis 06 Objekte, Klassen und Datenrechte</w:t>
      </w:r>
    </w:p>
    <w:bookmarkStart w:id="29" w:name="umfang-1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Drei Einzelstunden à 45 Minuten.</w:t>
      </w:r>
    </w:p>
    <w:bookmarkEnd w:id="29"/>
    <w:bookmarkStart w:id="30" w:name="stunde-4-objekte-und-attribute"/>
    <w:p>
      <w:pPr>
        <w:pStyle w:val="Heading2"/>
      </w:pPr>
      <w:r>
        <w:t xml:space="preserve">Stunde 4 – Objekte und Attribute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beschreibt ein Computer Dinge mit ihren Eigenschaften?</w:t>
      </w:r>
    </w:p>
    <w:p>
      <w:pPr>
        <w:pStyle w:val="BodyText"/>
      </w:pPr>
      <w:r>
        <w:t xml:space="preserve">Mit realen Objekten in einer bekannten Anwendung arbeiten: Bild, Textfeld, Tabellenzelle oder Scratch-Figur. Attribute direkt am Objekt verändern und die Begriffe Objekt, Attribut und Attributwert daraus ableiten.</w:t>
      </w:r>
    </w:p>
    <w:bookmarkEnd w:id="30"/>
    <w:bookmarkStart w:id="31" w:name="stunde-5-klassen-und-methoden"/>
    <w:p>
      <w:pPr>
        <w:pStyle w:val="Heading2"/>
      </w:pPr>
      <w:r>
        <w:t xml:space="preserve">Stunde 5 – Klassen und Methoden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beschreiben wir viele ähnliche Objekte gemeinsam?</w:t>
      </w:r>
    </w:p>
    <w:p>
      <w:pPr>
        <w:pStyle w:val="BodyText"/>
      </w:pPr>
      <w:r>
        <w:t xml:space="preserve">Die Klasse nur als gemeinsame Beschreibung/Bauplan einführen. Keine technische Objektorientierung programmieren. Diese Begriffe werden in Klasse 8 vertieft.</w:t>
      </w:r>
    </w:p>
    <w:p>
      <w:pPr>
        <w:pStyle w:val="BodyText"/>
      </w:pPr>
      <w:r>
        <w:t xml:space="preserve">Schwerpunkte:</w:t>
      </w:r>
    </w:p>
    <w:p>
      <w:pPr>
        <w:numPr>
          <w:ilvl w:val="0"/>
          <w:numId w:val="1004"/>
        </w:numPr>
        <w:pStyle w:val="Compact"/>
      </w:pPr>
      <w:r>
        <w:t xml:space="preserve">Klasse versus konkretes Objekt</w:t>
      </w:r>
    </w:p>
    <w:p>
      <w:pPr>
        <w:numPr>
          <w:ilvl w:val="0"/>
          <w:numId w:val="1004"/>
        </w:numPr>
        <w:pStyle w:val="Compact"/>
      </w:pPr>
      <w:r>
        <w:t xml:space="preserve">Attribute und Attributwerte</w:t>
      </w:r>
    </w:p>
    <w:p>
      <w:pPr>
        <w:numPr>
          <w:ilvl w:val="0"/>
          <w:numId w:val="1004"/>
        </w:numPr>
        <w:pStyle w:val="Compact"/>
      </w:pPr>
      <w:r>
        <w:t xml:space="preserve">Methoden zur Veränderung</w:t>
      </w:r>
    </w:p>
    <w:p>
      <w:pPr>
        <w:numPr>
          <w:ilvl w:val="0"/>
          <w:numId w:val="1004"/>
        </w:numPr>
        <w:pStyle w:val="Compact"/>
      </w:pPr>
      <w:r>
        <w:t xml:space="preserve">Aktionen zum Erstellen, Kopieren und Löschen von Objekten unterscheiden</w:t>
      </w:r>
    </w:p>
    <w:bookmarkEnd w:id="31"/>
    <w:bookmarkStart w:id="32" w:name="stunde-6-daten-und-rechte"/>
    <w:p>
      <w:pPr>
        <w:pStyle w:val="Heading2"/>
      </w:pPr>
      <w:r>
        <w:t xml:space="preserve">Stunde 6 – Daten und Rechte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Dürfen wir alle Daten und Medien verwenden, die technisch erreichbar sind?</w:t>
      </w:r>
    </w:p>
    <w:p>
      <w:pPr>
        <w:pStyle w:val="BodyText"/>
      </w:pPr>
      <w:r>
        <w:t xml:space="preserve">Fallbeispiele statt juristischer Detailvermittlung. Schwerpunkte:</w:t>
      </w:r>
    </w:p>
    <w:p>
      <w:pPr>
        <w:numPr>
          <w:ilvl w:val="0"/>
          <w:numId w:val="1005"/>
        </w:numPr>
        <w:pStyle w:val="Compact"/>
      </w:pPr>
      <w:r>
        <w:t xml:space="preserve">persönliche Daten</w:t>
      </w:r>
    </w:p>
    <w:p>
      <w:pPr>
        <w:numPr>
          <w:ilvl w:val="0"/>
          <w:numId w:val="1005"/>
        </w:numPr>
        <w:pStyle w:val="Compact"/>
      </w:pPr>
      <w:r>
        <w:t xml:space="preserve">Persönlichkeitsrechte</w:t>
      </w:r>
    </w:p>
    <w:p>
      <w:pPr>
        <w:numPr>
          <w:ilvl w:val="0"/>
          <w:numId w:val="1005"/>
        </w:numPr>
        <w:pStyle w:val="Compact"/>
      </w:pPr>
      <w:r>
        <w:t xml:space="preserve">Urheberrecht</w:t>
      </w:r>
    </w:p>
    <w:p>
      <w:pPr>
        <w:numPr>
          <w:ilvl w:val="0"/>
          <w:numId w:val="1005"/>
        </w:numPr>
        <w:pStyle w:val="Compact"/>
      </w:pPr>
      <w:r>
        <w:t xml:space="preserve">Quellenangaben</w:t>
      </w:r>
    </w:p>
    <w:p>
      <w:pPr>
        <w:numPr>
          <w:ilvl w:val="0"/>
          <w:numId w:val="1005"/>
        </w:numPr>
        <w:pStyle w:val="Compact"/>
      </w:pPr>
      <w:r>
        <w:t xml:space="preserve">bewusste Freigabe und Zugriffsrechte</w:t>
      </w:r>
    </w:p>
    <w:bookmarkEnd w:id="32"/>
    <w:bookmarkStart w:id="33" w:name="typische-fehlvorstellungen-1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6"/>
        </w:numPr>
        <w:pStyle w:val="Compact"/>
      </w:pPr>
      <w:r>
        <w:t xml:space="preserve">„Klasse bedeutet Schulklasse.“ – In der Informatik beschreibt sie gemeinsame Merkmale ähnlicher Objekte.</w:t>
      </w:r>
    </w:p>
    <w:p>
      <w:pPr>
        <w:numPr>
          <w:ilvl w:val="0"/>
          <w:numId w:val="1006"/>
        </w:numPr>
        <w:pStyle w:val="Compact"/>
      </w:pPr>
      <w:r>
        <w:t xml:space="preserve">„Attribut ist dasselbe wie Wert.“ – Das Attribut ist z. B.</w:t>
      </w:r>
      <w:r>
        <w:t xml:space="preserve"> </w:t>
      </w:r>
      <w:r>
        <w:rPr>
          <w:rStyle w:val="VerbatimChar"/>
        </w:rPr>
        <w:t xml:space="preserve">Farbe</w:t>
      </w:r>
      <w:r>
        <w:t xml:space="preserve">, der Attributwert</w:t>
      </w:r>
      <w:r>
        <w:t xml:space="preserve"> </w:t>
      </w:r>
      <w:r>
        <w:rPr>
          <w:rStyle w:val="VerbatimChar"/>
        </w:rPr>
        <w:t xml:space="preserve">rot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„Methode und Aktion sind immer dasselbe.“ – Im Unterricht wird zwischen Verwaltung eines Objekts und Änderung seiner Eigenschaften unterschieden.</w:t>
      </w:r>
    </w:p>
    <w:p>
      <w:pPr>
        <w:numPr>
          <w:ilvl w:val="0"/>
          <w:numId w:val="1006"/>
        </w:numPr>
        <w:pStyle w:val="Compact"/>
      </w:pPr>
      <w:r>
        <w:t xml:space="preserve">„Was Google zeigt, darf verwendet werden.“ – Suchmaschinen zeigen Fundstellen, vergeben aber keine Nutzungsrechte.</w:t>
      </w:r>
    </w:p>
    <w:bookmarkEnd w:id="33"/>
    <w:bookmarkStart w:id="34" w:name="prüfungsrelevant-1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Grundbegriffe Klasse, Objekt, Attribut, Attributwert, Methode; einfache Zuordnung; Trennung von Inhalt/Design; verantwortungsvoller Umgang mit personenbezogenen Daten und fremden Medien.</w:t>
      </w:r>
    </w:p>
    <w:bookmarkEnd w:id="34"/>
    <w:bookmarkEnd w:id="3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2026-08-16T20:32:26Z</dcterms:created>
  <dcterms:modified xsi:type="dcterms:W3CDTF">2026-08-16T20:32:26Z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Lehrerband</vt:lpwstr>
  </property>
  <property fmtid="{D5CDD505-2E9C-101B-9397-08002B2CF9AE}" pid="3" name="toc-title">
    <vt:lpwstr>Inhaltsverzeichnis</vt:lpwstr>
  </property>
</Properties>
</file>