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7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material-m01-smartphone-nach-evas"/>
    <w:p>
      <w:pPr>
        <w:pStyle w:val="Heading1"/>
      </w:pPr>
      <w:r>
        <w:t xml:space="preserve">Material M01 – Smartphone nach EVAS</w:t>
      </w:r>
    </w:p>
    <w:p>
      <w:pPr>
        <w:pStyle w:val="FirstParagraph"/>
      </w:pPr>
      <w:r>
        <w:t xml:space="preserve">Ordnet für ein Smartphone konkrete Beispiele zu: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Gerät/Funktion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 Information oder Wirkung?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Eingabe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Verarbeitung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Ausgabe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Speicherung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Begründet Mehrfachzuordnungen. Achtet darauf, nicht nur Bauteile, sondern auch die verarbeiteten Informationen zu benennen.</w:t>
      </w:r>
    </w:p>
    <w:bookmarkEnd w:id="2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2026-08-16T20:33:26Z</dcterms:created>
  <dcterms:modified xsi:type="dcterms:W3CDTF">2026-08-16T20:33:26Z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Material</vt:lpwstr>
  </property>
  <property fmtid="{D5CDD505-2E9C-101B-9397-08002B2CF9AE}" pid="3" name="toc-title">
    <vt:lpwstr>Inhaltsverzeichnis</vt:lpwstr>
  </property>
</Properties>
</file>