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Webbasierte Anwendungen</w:t>
      </w:r>
    </w:p>
    <w:p>
      <w:pPr>
        <w:pStyle w:val="Subtitle"/>
      </w:pPr>
      <w:r>
        <w:t xml:space="preserve">Informatik · Klasse 10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6" w:name="X0d81fe65b61b380371452d7d8914a10f041dd09"/>
    <w:p>
      <w:pPr>
        <w:pStyle w:val="Heading1"/>
      </w:pPr>
      <w:r>
        <w:t xml:space="preserve">Präsentation – Lernbereich 1 Webbasierte Anwendungen</w:t>
      </w:r>
    </w:p>
    <w:bookmarkStart w:id="20" w:name="folie-1"/>
    <w:p>
      <w:pPr>
        <w:pStyle w:val="Heading2"/>
      </w:pPr>
      <w:r>
        <w:t xml:space="preserve">Folie 1</w:t>
      </w:r>
    </w:p>
    <w:p>
      <w:pPr>
        <w:pStyle w:val="FirstParagraph"/>
      </w:pPr>
      <w:r>
        <w:t xml:space="preserve">Leitfrage: Was macht eine Anwendung webbasiert?</w:t>
      </w:r>
    </w:p>
    <w:bookmarkEnd w:id="20"/>
    <w:bookmarkStart w:id="21" w:name="folie-2"/>
    <w:p>
      <w:pPr>
        <w:pStyle w:val="Heading2"/>
      </w:pPr>
      <w:r>
        <w:t xml:space="preserve">Folie 2</w:t>
      </w:r>
    </w:p>
    <w:p>
      <w:pPr>
        <w:pStyle w:val="FirstParagraph"/>
      </w:pPr>
      <w:r>
        <w:t xml:space="preserve">Lokal vs. webbasiert – Beispiele sammeln.</w:t>
      </w:r>
    </w:p>
    <w:bookmarkEnd w:id="21"/>
    <w:bookmarkStart w:id="22" w:name="folie-3"/>
    <w:p>
      <w:pPr>
        <w:pStyle w:val="Heading2"/>
      </w:pPr>
      <w:r>
        <w:t xml:space="preserve">Folie 3</w:t>
      </w:r>
    </w:p>
    <w:p>
      <w:pPr>
        <w:pStyle w:val="FirstParagraph"/>
      </w:pPr>
      <w:r>
        <w:t xml:space="preserve">Client → Netzwerk → Server → Antwort.</w:t>
      </w:r>
    </w:p>
    <w:bookmarkEnd w:id="22"/>
    <w:bookmarkStart w:id="23" w:name="folie-4"/>
    <w:p>
      <w:pPr>
        <w:pStyle w:val="Heading2"/>
      </w:pPr>
      <w:r>
        <w:t xml:space="preserve">Folie 4</w:t>
      </w:r>
    </w:p>
    <w:p>
      <w:pPr>
        <w:pStyle w:val="FirstParagraph"/>
      </w:pPr>
      <w:r>
        <w:t xml:space="preserve">Netzwerkprotokolle als gemeinsame Regeln.</w:t>
      </w:r>
    </w:p>
    <w:bookmarkEnd w:id="23"/>
    <w:bookmarkStart w:id="24" w:name="folie-5"/>
    <w:p>
      <w:pPr>
        <w:pStyle w:val="Heading2"/>
      </w:pPr>
      <w:r>
        <w:t xml:space="preserve">Folie 5</w:t>
      </w:r>
    </w:p>
    <w:p>
      <w:pPr>
        <w:pStyle w:val="FirstParagraph"/>
      </w:pPr>
      <w:r>
        <w:t xml:space="preserve">Hypertext: Inhalte werden durch Links verbunden.</w:t>
      </w:r>
    </w:p>
    <w:bookmarkEnd w:id="24"/>
    <w:bookmarkStart w:id="25" w:name="folie-6"/>
    <w:p>
      <w:pPr>
        <w:pStyle w:val="Heading2"/>
      </w:pPr>
      <w:r>
        <w:t xml:space="preserve">Folie 6</w:t>
      </w:r>
    </w:p>
    <w:p>
      <w:pPr>
        <w:pStyle w:val="FirstParagraph"/>
      </w:pPr>
      <w:r>
        <w:t xml:space="preserve">HTML strukturiert Inhalte.</w:t>
      </w:r>
    </w:p>
    <w:bookmarkEnd w:id="25"/>
    <w:bookmarkStart w:id="26" w:name="folie-7"/>
    <w:p>
      <w:pPr>
        <w:pStyle w:val="Heading2"/>
      </w:pPr>
      <w:r>
        <w:t xml:space="preserve">Folie 7</w:t>
      </w:r>
    </w:p>
    <w:p>
      <w:pPr>
        <w:pStyle w:val="FirstParagraph"/>
      </w:pPr>
      <w:r>
        <w:t xml:space="preserve">Objektorientierte Sicht: Objekt, Attribut, Attributwert.</w:t>
      </w:r>
    </w:p>
    <w:bookmarkEnd w:id="26"/>
    <w:bookmarkStart w:id="27" w:name="folie-8"/>
    <w:p>
      <w:pPr>
        <w:pStyle w:val="Heading2"/>
      </w:pPr>
      <w:r>
        <w:t xml:space="preserve">Folie 8</w:t>
      </w:r>
    </w:p>
    <w:p>
      <w:pPr>
        <w:pStyle w:val="FirstParagraph"/>
      </w:pPr>
      <w:r>
        <w:t xml:space="preserve">Privat oder öffentlich? Sichtbarkeit und Zugriffsrechte.</w:t>
      </w:r>
    </w:p>
    <w:bookmarkEnd w:id="27"/>
    <w:bookmarkStart w:id="28" w:name="folie-9"/>
    <w:p>
      <w:pPr>
        <w:pStyle w:val="Heading2"/>
      </w:pPr>
      <w:r>
        <w:t xml:space="preserve">Folie 9</w:t>
      </w:r>
    </w:p>
    <w:p>
      <w:pPr>
        <w:pStyle w:val="FirstParagraph"/>
      </w:pPr>
      <w:r>
        <w:t xml:space="preserve">Standortdaten und Cookies – Zweck prüfen.</w:t>
      </w:r>
    </w:p>
    <w:bookmarkEnd w:id="28"/>
    <w:bookmarkStart w:id="29" w:name="folie-10"/>
    <w:p>
      <w:pPr>
        <w:pStyle w:val="Heading2"/>
      </w:pPr>
      <w:r>
        <w:t xml:space="preserve">Folie 10</w:t>
      </w:r>
    </w:p>
    <w:p>
      <w:pPr>
        <w:pStyle w:val="FirstParagraph"/>
      </w:pPr>
      <w:r>
        <w:t xml:space="preserve">Soziale Netzwerke: Kopierbarkeit und dauerhafte Verbreitung.</w:t>
      </w:r>
    </w:p>
    <w:bookmarkEnd w:id="29"/>
    <w:bookmarkStart w:id="30" w:name="folie-11"/>
    <w:p>
      <w:pPr>
        <w:pStyle w:val="Heading2"/>
      </w:pPr>
      <w:r>
        <w:t xml:space="preserve">Folie 11</w:t>
      </w:r>
    </w:p>
    <w:p>
      <w:pPr>
        <w:pStyle w:val="FirstParagraph"/>
      </w:pPr>
      <w:r>
        <w:t xml:space="preserve">Passwortsicherheit und Mehrfaktor-Authentisierung.</w:t>
      </w:r>
    </w:p>
    <w:bookmarkEnd w:id="30"/>
    <w:bookmarkStart w:id="31" w:name="folie-12"/>
    <w:p>
      <w:pPr>
        <w:pStyle w:val="Heading2"/>
      </w:pPr>
      <w:r>
        <w:t xml:space="preserve">Folie 12</w:t>
      </w:r>
    </w:p>
    <w:p>
      <w:pPr>
        <w:pStyle w:val="FirstParagraph"/>
      </w:pPr>
      <w:r>
        <w:t xml:space="preserve">Backup: eine zusätzliche, getrennte Kopie.</w:t>
      </w:r>
    </w:p>
    <w:bookmarkEnd w:id="31"/>
    <w:bookmarkStart w:id="32" w:name="folie-13"/>
    <w:p>
      <w:pPr>
        <w:pStyle w:val="Heading2"/>
      </w:pPr>
      <w:r>
        <w:t xml:space="preserve">Folie 13</w:t>
      </w:r>
    </w:p>
    <w:p>
      <w:pPr>
        <w:pStyle w:val="FirstParagraph"/>
      </w:pPr>
      <w:r>
        <w:t xml:space="preserve">Phishing erkennen und über unabhängigen Weg prüfen.</w:t>
      </w:r>
    </w:p>
    <w:bookmarkEnd w:id="32"/>
    <w:bookmarkStart w:id="33" w:name="folie-14"/>
    <w:p>
      <w:pPr>
        <w:pStyle w:val="Heading2"/>
      </w:pPr>
      <w:r>
        <w:t xml:space="preserve">Folie 14</w:t>
      </w:r>
    </w:p>
    <w:p>
      <w:pPr>
        <w:pStyle w:val="FirstParagraph"/>
      </w:pPr>
      <w:r>
        <w:t xml:space="preserve">Symmetrisch: ein gemeinsamer geheimer Schlüssel.</w:t>
      </w:r>
    </w:p>
    <w:bookmarkEnd w:id="33"/>
    <w:bookmarkStart w:id="34" w:name="folie-15"/>
    <w:p>
      <w:pPr>
        <w:pStyle w:val="Heading2"/>
      </w:pPr>
      <w:r>
        <w:t xml:space="preserve">Folie 15</w:t>
      </w:r>
    </w:p>
    <w:p>
      <w:pPr>
        <w:pStyle w:val="FirstParagraph"/>
      </w:pPr>
      <w:r>
        <w:t xml:space="preserve">Asymmetrisch: öffentlicher + privater Schlüssel.</w:t>
      </w:r>
    </w:p>
    <w:bookmarkEnd w:id="34"/>
    <w:bookmarkStart w:id="35" w:name="folie-16"/>
    <w:p>
      <w:pPr>
        <w:pStyle w:val="Heading2"/>
      </w:pPr>
      <w:r>
        <w:t xml:space="preserve">Folie 16</w:t>
      </w:r>
    </w:p>
    <w:p>
      <w:pPr>
        <w:pStyle w:val="FirstParagraph"/>
      </w:pPr>
      <w:r>
        <w:t xml:space="preserve">Abschlussfrage: Welche Schutzmaßnahmen wirken technisch, welche hängen vom Verhalten des Menschen ab?</w:t>
      </w:r>
    </w:p>
    <w:bookmarkEnd w:id="35"/>
    <w:bookmarkEnd w:id="3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Webbasierte Anwendungen</dc:title>
  <dc:creator/>
  <dc:language>de-DE</dc:language>
  <cp:keywords/>
  <dcterms:created xsi:type="dcterms:W3CDTF">2026-08-17T18:58:37Z</dcterms:created>
  <dcterms:modified xsi:type="dcterms:W3CDTF">2026-08-17T18:58:37Z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Praesentationen</vt:lpwstr>
  </property>
  <property fmtid="{D5CDD505-2E9C-101B-9397-08002B2CF9AE}" pid="3" name="toc-title">
    <vt:lpwstr>Inhaltsverzeichnis</vt:lpwstr>
  </property>
</Properties>
</file>