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4" w:name="X7a54d87c65445f831577b5aba7545cfee64a11c"/>
    <w:p>
      <w:pPr>
        <w:pStyle w:val="Heading1"/>
      </w:pPr>
      <w:r>
        <w:t xml:space="preserve">Präsentation – 01 bis 03 Daten, Darstellungen und digitale Medien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Wann werden Daten zu Informationen?</w:t>
      </w:r>
    </w:p>
    <w:bookmarkEnd w:id="20"/>
    <w:bookmarkStart w:id="21" w:name="folie-2-einstieg-die-zahl-18"/>
    <w:p>
      <w:pPr>
        <w:pStyle w:val="Heading2"/>
      </w:pPr>
      <w:r>
        <w:t xml:space="preserve">Folie 2 – Einstieg: Die Zahl 18</w:t>
      </w:r>
    </w:p>
    <w:p>
      <w:pPr>
        <w:pStyle w:val="FirstParagraph"/>
      </w:pPr>
      <w:r>
        <w:t xml:space="preserve">Gleiche Daten, verschiedene Kontexte: Temperatur, Alter, Preis, Hausnummer.</w:t>
      </w:r>
    </w:p>
    <w:bookmarkEnd w:id="21"/>
    <w:bookmarkStart w:id="22" w:name="folie-3-daten-versus-information"/>
    <w:p>
      <w:pPr>
        <w:pStyle w:val="Heading2"/>
      </w:pPr>
      <w:r>
        <w:t xml:space="preserve">Folie 3 – Daten versus Information</w:t>
      </w:r>
    </w:p>
    <w:p>
      <w:pPr>
        <w:pStyle w:val="FirstParagraph"/>
      </w:pPr>
      <w:r>
        <w:t xml:space="preserve">Daten sind Darstellungen. Information entsteht durch Bedeutung im Kontext.</w:t>
      </w:r>
    </w:p>
    <w:bookmarkEnd w:id="22"/>
    <w:bookmarkStart w:id="23" w:name="folie-4-darstellungsformen"/>
    <w:p>
      <w:pPr>
        <w:pStyle w:val="Heading2"/>
      </w:pPr>
      <w:r>
        <w:t xml:space="preserve">Folie 4 – Darstellungsformen</w:t>
      </w:r>
    </w:p>
    <w:p>
      <w:pPr>
        <w:pStyle w:val="FirstParagraph"/>
      </w:pPr>
      <w:r>
        <w:t xml:space="preserve">Text, Tabelle, Diagramm, Grafik, Animation, Audio, Video und Multimedia vergleichen.</w:t>
      </w:r>
    </w:p>
    <w:bookmarkEnd w:id="23"/>
    <w:bookmarkStart w:id="24" w:name="folie-5-welche-darstellung-passt"/>
    <w:p>
      <w:pPr>
        <w:pStyle w:val="Heading2"/>
      </w:pPr>
      <w:r>
        <w:t xml:space="preserve">Folie 5 – Welche Darstellung passt?</w:t>
      </w:r>
    </w:p>
    <w:p>
      <w:pPr>
        <w:pStyle w:val="FirstParagraph"/>
      </w:pPr>
      <w:r>
        <w:t xml:space="preserve">Kriterien: Zweck, Zielgruppe, Genauigkeit, Übersichtlichkeit, Barrierefreiheit.</w:t>
      </w:r>
    </w:p>
    <w:bookmarkEnd w:id="24"/>
    <w:bookmarkStart w:id="25" w:name="folie-6-beispiel-wetterdaten"/>
    <w:p>
      <w:pPr>
        <w:pStyle w:val="Heading2"/>
      </w:pPr>
      <w:r>
        <w:t xml:space="preserve">Folie 6 – Beispiel Wetterdaten</w:t>
      </w:r>
    </w:p>
    <w:p>
      <w:pPr>
        <w:pStyle w:val="FirstParagraph"/>
      </w:pPr>
      <w:r>
        <w:t xml:space="preserve">Tabelle für genaue Werte, Diagramm für Entwicklung. Beide Darstellungen haben Stärken.</w:t>
      </w:r>
    </w:p>
    <w:bookmarkEnd w:id="25"/>
    <w:bookmarkStart w:id="26" w:name="folie-7-digitale-medien-planen"/>
    <w:p>
      <w:pPr>
        <w:pStyle w:val="Heading2"/>
      </w:pPr>
      <w:r>
        <w:t xml:space="preserve">Folie 7 – Digitale Medien planen</w:t>
      </w:r>
    </w:p>
    <w:p>
      <w:pPr>
        <w:pStyle w:val="FirstParagraph"/>
      </w:pPr>
      <w:r>
        <w:t xml:space="preserve">Ziel, Zielgruppe und Kernaussage vor Gestaltung und Werkzeug klären.</w:t>
      </w:r>
    </w:p>
    <w:bookmarkEnd w:id="26"/>
    <w:bookmarkStart w:id="27" w:name="folie-8-inhalt-und-design-trennen"/>
    <w:p>
      <w:pPr>
        <w:pStyle w:val="Heading2"/>
      </w:pPr>
      <w:r>
        <w:t xml:space="preserve">Folie 8 – Inhalt und Design trennen</w:t>
      </w:r>
    </w:p>
    <w:p>
      <w:pPr>
        <w:pStyle w:val="FirstParagraph"/>
      </w:pPr>
      <w:r>
        <w:t xml:space="preserve">Inhalt sagt,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vermittelt wird. Design steuert,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es wahrgenommen wird.</w:t>
      </w:r>
    </w:p>
    <w:bookmarkEnd w:id="27"/>
    <w:bookmarkStart w:id="28" w:name="X152aa84cc0ebd22a5ec70988169ac4f2b5e1b95"/>
    <w:p>
      <w:pPr>
        <w:pStyle w:val="Heading2"/>
      </w:pPr>
      <w:r>
        <w:t xml:space="preserve">Folie 9 – Software problembezogen auswählen</w:t>
      </w:r>
    </w:p>
    <w:p>
      <w:pPr>
        <w:pStyle w:val="FirstParagraph"/>
      </w:pPr>
      <w:r>
        <w:t xml:space="preserve">Textverarbeitung, Präsentation, Tabellenkalkulation, Grafikprogramm, Audio-/Video-Software, browserbasierte Anwendung.</w:t>
      </w:r>
    </w:p>
    <w:bookmarkEnd w:id="28"/>
    <w:bookmarkStart w:id="29" w:name="folie-10-weitere-anwendung-kennenlernen"/>
    <w:p>
      <w:pPr>
        <w:pStyle w:val="Heading2"/>
      </w:pPr>
      <w:r>
        <w:t xml:space="preserve">Folie 10 – Weitere Anwendung kennenlernen</w:t>
      </w:r>
    </w:p>
    <w:p>
      <w:pPr>
        <w:pStyle w:val="FirstParagraph"/>
      </w:pPr>
      <w:r>
        <w:t xml:space="preserve">Beispiel Tabellenkalkulation: Rohdaten erfassen, Formeln nutzen, Diagramm erzeugen.</w:t>
      </w:r>
    </w:p>
    <w:bookmarkEnd w:id="29"/>
    <w:bookmarkStart w:id="30" w:name="Xf68e66796ca2061b5b876ca963f4d50a6ecf0a9"/>
    <w:p>
      <w:pPr>
        <w:pStyle w:val="Heading2"/>
      </w:pPr>
      <w:r>
        <w:t xml:space="preserve">Folie 11 – Automatisierung in Anwendersoftware</w:t>
      </w:r>
    </w:p>
    <w:p>
      <w:pPr>
        <w:pStyle w:val="FirstParagraph"/>
      </w:pPr>
      <w:r>
        <w:t xml:space="preserve">Eingabe → automatische Verarbeitung → Ergebnis: Rechtschreibprüfung, Summenbildung, Layoutvorlage, Untertitelvorschlag.</w:t>
      </w:r>
    </w:p>
    <w:bookmarkEnd w:id="30"/>
    <w:bookmarkStart w:id="31" w:name="X1a73f82742f877fa6740ee219fdddbf083a499a"/>
    <w:p>
      <w:pPr>
        <w:pStyle w:val="Heading2"/>
      </w:pPr>
      <w:r>
        <w:t xml:space="preserve">Folie 12 – Was bleibt menschliche Verantwortung?</w:t>
      </w:r>
    </w:p>
    <w:p>
      <w:pPr>
        <w:pStyle w:val="FirstParagraph"/>
      </w:pPr>
      <w:r>
        <w:t xml:space="preserve">Ziel setzen, Daten prüfen, Kontext bewerten, Ergebnis auswählen und überarbeiten.</w:t>
      </w:r>
    </w:p>
    <w:bookmarkEnd w:id="31"/>
    <w:bookmarkStart w:id="32" w:name="folie-13-sicherung"/>
    <w:p>
      <w:pPr>
        <w:pStyle w:val="Heading2"/>
      </w:pPr>
      <w:r>
        <w:t xml:space="preserve">Folie 13 – Sicherung</w:t>
      </w:r>
    </w:p>
    <w:p>
      <w:pPr>
        <w:pStyle w:val="BlockText"/>
      </w:pPr>
      <w:r>
        <w:t xml:space="preserve">Gute digitale Medien verbinden passende Daten, verständlichen Kontext, geeignetes Werkzeug und verantwortliche Gestaltung.</w:t>
      </w:r>
    </w:p>
    <w:bookmarkEnd w:id="32"/>
    <w:bookmarkStart w:id="33" w:name="folie-14-ausblick"/>
    <w:p>
      <w:pPr>
        <w:pStyle w:val="Heading2"/>
      </w:pPr>
      <w:r>
        <w:t xml:space="preserve">Folie 14 – Ausblick</w:t>
      </w:r>
    </w:p>
    <w:p>
      <w:pPr>
        <w:pStyle w:val="BlockText"/>
      </w:pPr>
      <w:r>
        <w:t xml:space="preserve">Wenn ein Dokument aus Bildern, Tabellen und Textfeldern besteht: Welche Dinge darin kann man als Objekte mit Eigenschaften beschreiben?</w:t>
      </w:r>
    </w:p>
    <w:p>
      <w:r>
        <w:br w:type="page"/>
      </w:r>
    </w:p>
    <w:bookmarkEnd w:id="33"/>
    <w:bookmarkEnd w:id="34"/>
    <w:bookmarkStart w:id="50" w:name="X61083bd9bfc3285e51f70563df4b0cee0ef3e8f"/>
    <w:p>
      <w:pPr>
        <w:pStyle w:val="Heading1"/>
      </w:pPr>
      <w:r>
        <w:t xml:space="preserve">Präsentation – 04 bis 06 Objekte, Klassen und verantwortliche Datennutzung</w:t>
      </w:r>
    </w:p>
    <w:bookmarkStart w:id="35" w:name="folie-1-leitfrage-1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Wie beschreibt ein Computer Dinge in Dokumenten und Anwendungen?</w:t>
      </w:r>
    </w:p>
    <w:bookmarkEnd w:id="35"/>
    <w:bookmarkStart w:id="36" w:name="folie-2-objekte-in-anwendersoftware"/>
    <w:p>
      <w:pPr>
        <w:pStyle w:val="Heading2"/>
      </w:pPr>
      <w:r>
        <w:t xml:space="preserve">Folie 2 – Objekte in Anwendersoftware</w:t>
      </w:r>
    </w:p>
    <w:p>
      <w:pPr>
        <w:pStyle w:val="FirstParagraph"/>
      </w:pPr>
      <w:r>
        <w:t xml:space="preserve">Bild, Textfeld, Tabellenzelle, Folie, Audioausschnitt oder Videoelement als konkrete Objekte.</w:t>
      </w:r>
    </w:p>
    <w:bookmarkEnd w:id="36"/>
    <w:bookmarkStart w:id="37" w:name="folie-3-attribute-und-attributwerte"/>
    <w:p>
      <w:pPr>
        <w:pStyle w:val="Heading2"/>
      </w:pPr>
      <w:r>
        <w:t xml:space="preserve">Folie 3 – Attribute und Attributwerte</w:t>
      </w:r>
    </w:p>
    <w:p>
      <w:pPr>
        <w:pStyle w:val="FirstParagraph"/>
      </w:pPr>
      <w:r>
        <w:t xml:space="preserve">Attribut = Eigenschaft, Attributwert = konkreter Wert. Beispiel: Breite = 10 cm, Farbe = blau.</w:t>
      </w:r>
    </w:p>
    <w:bookmarkEnd w:id="37"/>
    <w:bookmarkStart w:id="38" w:name="folie-4-objektzustand-ändern"/>
    <w:p>
      <w:pPr>
        <w:pStyle w:val="Heading2"/>
      </w:pPr>
      <w:r>
        <w:t xml:space="preserve">Folie 4 – Objektzustand ändern</w:t>
      </w:r>
    </w:p>
    <w:p>
      <w:pPr>
        <w:pStyle w:val="FirstParagraph"/>
      </w:pPr>
      <w:r>
        <w:t xml:space="preserve">Attributwerte verändern den Zustand eines konkreten Objekts. Die Klasse selbst ändert sich dadurch nicht.</w:t>
      </w:r>
    </w:p>
    <w:bookmarkEnd w:id="38"/>
    <w:bookmarkStart w:id="39" w:name="folie-5-klasse-als-bauplan"/>
    <w:p>
      <w:pPr>
        <w:pStyle w:val="Heading2"/>
      </w:pPr>
      <w:r>
        <w:t xml:space="preserve">Folie 5 – Klasse als Bauplan</w:t>
      </w:r>
    </w:p>
    <w:p>
      <w:pPr>
        <w:pStyle w:val="FirstParagraph"/>
      </w:pPr>
      <w:r>
        <w:t xml:space="preserve">Klasse beschreibt gemeinsame Attribute und Methoden ähnlicher Objekte, z. B.</w:t>
      </w:r>
      <w:r>
        <w:t xml:space="preserve"> </w:t>
      </w:r>
      <w:r>
        <w:rPr>
          <w:rStyle w:val="VerbatimChar"/>
        </w:rPr>
        <w:t xml:space="preserve">Bild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Textfeld</w:t>
      </w:r>
      <w:r>
        <w:t xml:space="preserve">,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.</w:t>
      </w:r>
    </w:p>
    <w:bookmarkEnd w:id="39"/>
    <w:bookmarkStart w:id="40" w:name="folie-6-klasse-und-objekt-unterscheiden"/>
    <w:p>
      <w:pPr>
        <w:pStyle w:val="Heading2"/>
      </w:pPr>
      <w:r>
        <w:t xml:space="preserve">Folie 6 – Klasse und Objekt unterscheiden</w:t>
      </w:r>
    </w:p>
    <w:p>
      <w:pPr>
        <w:pStyle w:val="FirstParagraph"/>
      </w:pPr>
      <w:r>
        <w:t xml:space="preserve">Die Klasse besitzt keine konkreten Werte wie „rot“ oder „10 cm“. Werte gehören zu konkreten Objekten.</w:t>
      </w:r>
    </w:p>
    <w:bookmarkEnd w:id="40"/>
    <w:bookmarkStart w:id="41" w:name="folie-7-methoden-und-verwaltung"/>
    <w:p>
      <w:pPr>
        <w:pStyle w:val="Heading2"/>
      </w:pPr>
      <w:r>
        <w:t xml:space="preserve">Folie 7 – Methoden und Verwaltung</w:t>
      </w:r>
    </w:p>
    <w:p>
      <w:pPr>
        <w:pStyle w:val="FirstParagraph"/>
      </w:pPr>
      <w:r>
        <w:t xml:space="preserve">Methode ändert bzw. nutzt ein Objekt. Erstellen, Kopieren und Löschen verwalten Objekte.</w:t>
      </w:r>
    </w:p>
    <w:bookmarkEnd w:id="41"/>
    <w:bookmarkStart w:id="42" w:name="folie-8-vereinfachte-darstellung"/>
    <w:p>
      <w:pPr>
        <w:pStyle w:val="Heading2"/>
      </w:pPr>
      <w:r>
        <w:t xml:space="preserve">Folie 8 – Vereinfachte Darstellung</w:t>
      </w:r>
    </w:p>
    <w:p>
      <w:pPr>
        <w:pStyle w:val="FirstParagraph"/>
      </w:pPr>
      <w:r>
        <w:t xml:space="preserve">Klasse-Objekt-Karte: Klassenname, Attribute, Beispielobjekt mit Attributwerten, mögliche Methoden.</w:t>
      </w:r>
    </w:p>
    <w:bookmarkEnd w:id="42"/>
    <w:bookmarkStart w:id="43" w:name="X85316b9ceebf1a738ae893a1087feb4f7a5d37a"/>
    <w:p>
      <w:pPr>
        <w:pStyle w:val="Heading2"/>
      </w:pPr>
      <w:r>
        <w:t xml:space="preserve">Folie 9 – Was technisch möglich ist, ist nicht automatisch erlaubt</w:t>
      </w:r>
    </w:p>
    <w:p>
      <w:pPr>
        <w:pStyle w:val="FirstParagraph"/>
      </w:pPr>
      <w:r>
        <w:t xml:space="preserve">Fallbeispiele: Klassenfoto, fremde Musik, Standortdaten, KI-generiertes Bild.</w:t>
      </w:r>
    </w:p>
    <w:bookmarkEnd w:id="43"/>
    <w:bookmarkStart w:id="44" w:name="Xdf963685f397c5a4c7c6526a27655784a327b7c"/>
    <w:p>
      <w:pPr>
        <w:pStyle w:val="Heading2"/>
      </w:pPr>
      <w:r>
        <w:t xml:space="preserve">Folie 10 – Persönliche Daten und Persönlichkeitsrechte</w:t>
      </w:r>
    </w:p>
    <w:p>
      <w:pPr>
        <w:pStyle w:val="FirstParagraph"/>
      </w:pPr>
      <w:r>
        <w:t xml:space="preserve">Name, Foto, Stimme, Standort, Kontaktdaten. Veröffentlichung und Weitergabe bewusst prüfen.</w:t>
      </w:r>
    </w:p>
    <w:bookmarkEnd w:id="44"/>
    <w:bookmarkStart w:id="45" w:name="Xe2e1a53870b436da7870ca4a98924e2f1175fa2"/>
    <w:p>
      <w:pPr>
        <w:pStyle w:val="Heading2"/>
      </w:pPr>
      <w:r>
        <w:t xml:space="preserve">Folie 11 – Urheberrecht, Quelle, Zitat, Plagiat</w:t>
      </w:r>
    </w:p>
    <w:p>
      <w:pPr>
        <w:pStyle w:val="FirstParagraph"/>
      </w:pPr>
      <w:r>
        <w:t xml:space="preserve">Fundstelle ist keine Nutzungserlaubnis. Quellen angeben, Lizenz beachten, fremde Leistung nicht als eigene ausgeben.</w:t>
      </w:r>
    </w:p>
    <w:bookmarkEnd w:id="45"/>
    <w:bookmarkStart w:id="46" w:name="folie-12-inhaltsdaten-und-metadaten"/>
    <w:p>
      <w:pPr>
        <w:pStyle w:val="Heading2"/>
      </w:pPr>
      <w:r>
        <w:t xml:space="preserve">Folie 12 – Inhaltsdaten und Metadaten</w:t>
      </w:r>
    </w:p>
    <w:p>
      <w:pPr>
        <w:pStyle w:val="FirstParagraph"/>
      </w:pPr>
      <w:r>
        <w:t xml:space="preserve">Was steht im Dokument? Welche Zusatzinformationen hängen daran? Beispiel Foto: Bildinhalt, Datum, Ort, Gerät.</w:t>
      </w:r>
    </w:p>
    <w:bookmarkEnd w:id="46"/>
    <w:bookmarkStart w:id="47" w:name="folie-13-dokumentenschutz"/>
    <w:p>
      <w:pPr>
        <w:pStyle w:val="Heading2"/>
      </w:pPr>
      <w:r>
        <w:t xml:space="preserve">Folie 13 – Dokumentenschutz</w:t>
      </w:r>
    </w:p>
    <w:p>
      <w:pPr>
        <w:pStyle w:val="FirstParagraph"/>
      </w:pPr>
      <w:r>
        <w:t xml:space="preserve">Zugriffsrechte, Freigaben, Passwörter, Backup und Versionen als einfache Schutzstrategien.</w:t>
      </w:r>
    </w:p>
    <w:bookmarkEnd w:id="47"/>
    <w:bookmarkStart w:id="48" w:name="Xa22cae78513d6cac980212d4556efb0e9d3b818"/>
    <w:p>
      <w:pPr>
        <w:pStyle w:val="Heading2"/>
      </w:pPr>
      <w:r>
        <w:t xml:space="preserve">Folie 14 – Manipulation und automatische Erzeugung</w:t>
      </w:r>
    </w:p>
    <w:p>
      <w:pPr>
        <w:pStyle w:val="FirstParagraph"/>
      </w:pPr>
      <w:r>
        <w:t xml:space="preserve">Medien können von Menschen oder Automaten verändert bzw. erzeugt werden. Quellen und Kontext prüfen.</w:t>
      </w:r>
    </w:p>
    <w:bookmarkEnd w:id="48"/>
    <w:bookmarkStart w:id="49" w:name="folie-15-sicherung"/>
    <w:p>
      <w:pPr>
        <w:pStyle w:val="Heading2"/>
      </w:pPr>
      <w:r>
        <w:t xml:space="preserve">Folie 15 – Sicherung</w:t>
      </w:r>
    </w:p>
    <w:p>
      <w:pPr>
        <w:pStyle w:val="BlockText"/>
      </w:pPr>
      <w:r>
        <w:t xml:space="preserve">Datenmodelle helfen beim Beschreiben digitaler Objekte. Rechte, Quellen und Schutz entscheiden, ob Nutzung verantwortungsvoll ist.</w:t>
      </w:r>
    </w:p>
    <w:bookmarkEnd w:id="49"/>
    <w:bookmarkEnd w:id="5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2026-08-17T22:27:57Z</dcterms:created>
  <dcterms:modified xsi:type="dcterms:W3CDTF">2026-08-17T22:27:57Z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