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Webbasierte Anwendungen</w:t>
      </w:r>
    </w:p>
    <w:p>
      <w:pPr>
        <w:pStyle w:val="Subtitle"/>
      </w:pPr>
      <w:r>
        <w:t xml:space="preserve">Informatik · Klasse 10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1" w:name="Xddc03e314846f48884369dede8e0fd216a3ed7c"/>
    <w:p>
      <w:pPr>
        <w:pStyle w:val="Heading1"/>
      </w:pPr>
      <w:r>
        <w:t xml:space="preserve">Lehrerband – Lernbereich 1: Webbasierte Anwendungen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Geplant für</w:t>
      </w:r>
      <w:r>
        <w:t xml:space="preserve"> </w:t>
      </w:r>
      <w:r>
        <w:rPr>
          <w:bCs/>
          <w:b/>
        </w:rPr>
        <w:t xml:space="preserve">9 Einzelstunden à 45 Minuten</w:t>
      </w:r>
      <w:r>
        <w:t xml:space="preserve">. Die fünf Arbeitsheftkapitel werden unterschiedlich tief bearbeitet und teilweise über zwei Stunden verteilt.</w:t>
      </w:r>
    </w:p>
    <w:bookmarkEnd w:id="20"/>
    <w:bookmarkStart w:id="21" w:name="stunde-1-lokal-oder-webbasiert"/>
    <w:p>
      <w:pPr>
        <w:pStyle w:val="Heading2"/>
      </w:pPr>
      <w:r>
        <w:t xml:space="preserve">Stunde 1 – Lokal oder webbasiert?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Was ändert sich, wenn eine Anwendung im Web läuft?</w:t>
      </w:r>
    </w:p>
    <w:p>
      <w:pPr>
        <w:numPr>
          <w:ilvl w:val="0"/>
          <w:numId w:val="1001"/>
        </w:numPr>
        <w:pStyle w:val="Compact"/>
      </w:pPr>
      <w:r>
        <w:t xml:space="preserve">5 min Rückblick Netzwerke Klasse 8</w:t>
      </w:r>
    </w:p>
    <w:p>
      <w:pPr>
        <w:numPr>
          <w:ilvl w:val="0"/>
          <w:numId w:val="1001"/>
        </w:numPr>
        <w:pStyle w:val="Compact"/>
      </w:pPr>
      <w:r>
        <w:t xml:space="preserve">10 min lokale/webbasierte Anwendungen vergleichen</w:t>
      </w:r>
    </w:p>
    <w:p>
      <w:pPr>
        <w:numPr>
          <w:ilvl w:val="0"/>
          <w:numId w:val="1001"/>
        </w:numPr>
        <w:pStyle w:val="Compact"/>
      </w:pPr>
      <w:r>
        <w:t xml:space="preserve">15 min Client–Server-Modell</w:t>
      </w:r>
    </w:p>
    <w:p>
      <w:pPr>
        <w:numPr>
          <w:ilvl w:val="0"/>
          <w:numId w:val="1001"/>
        </w:numPr>
        <w:pStyle w:val="Compact"/>
      </w:pPr>
      <w:r>
        <w:t xml:space="preserve">10 min Aufgaben und Fallbeispiele</w:t>
      </w:r>
    </w:p>
    <w:p>
      <w:pPr>
        <w:numPr>
          <w:ilvl w:val="0"/>
          <w:numId w:val="1001"/>
        </w:numPr>
        <w:pStyle w:val="Compact"/>
      </w:pPr>
      <w:r>
        <w:t xml:space="preserve">5 min Sicherung</w:t>
      </w:r>
    </w:p>
    <w:bookmarkEnd w:id="21"/>
    <w:bookmarkStart w:id="22" w:name="X1eda481673a97029628de6a47f1c36172f17c12"/>
    <w:p>
      <w:pPr>
        <w:pStyle w:val="Heading2"/>
      </w:pPr>
      <w:r>
        <w:t xml:space="preserve">Stunden 2–3 – Hypertext und einfache Webseite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wird aus strukturiertem Text eine Webseite?</w:t>
      </w:r>
    </w:p>
    <w:p>
      <w:pPr>
        <w:pStyle w:val="BodyText"/>
      </w:pPr>
      <w:r>
        <w:t xml:space="preserve">Schwerpunkte: HTML-Grundstruktur, Links, Trennung Inhalt/Gestaltung, bekannte objektorientierte Begriffe auf Webelemente übertragen.</w:t>
      </w:r>
    </w:p>
    <w:p>
      <w:pPr>
        <w:pStyle w:val="BodyText"/>
      </w:pPr>
      <w:r>
        <w:t xml:space="preserve">Praxis: kleine lokale HTML-Seite erstellen. Keine komplexe Webentwicklung; der Lehrplan fordert die Anwendung informatischer Konzepte, nicht ein vollständiges Webentwicklungs-Curriculum.</w:t>
      </w:r>
    </w:p>
    <w:bookmarkEnd w:id="22"/>
    <w:bookmarkStart w:id="23" w:name="stunden-45-privat-öffentlich-und-daten"/>
    <w:p>
      <w:pPr>
        <w:pStyle w:val="Heading2"/>
      </w:pPr>
      <w:r>
        <w:t xml:space="preserve">Stunden 4–5 – Privat, öffentlich und Daten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Welche Daten geben wir im Web preis?</w:t>
      </w:r>
    </w:p>
    <w:p>
      <w:pPr>
        <w:pStyle w:val="BodyText"/>
      </w:pPr>
      <w:r>
        <w:t xml:space="preserve">Schwerpunkte: Zugriffsrechte, privater/öffentlicher Bereich, Standortdaten, Cookies, soziale Netzwerke.</w:t>
      </w:r>
    </w:p>
    <w:p>
      <w:pPr>
        <w:pStyle w:val="BodyText"/>
      </w:pPr>
      <w:r>
        <w:t xml:space="preserve">Methodisch eignen sich Fallkarten und begründete Entscheidungen. Keine pauschale Gleichsetzung von Cookies mit Schadsoftware.</w:t>
      </w:r>
    </w:p>
    <w:bookmarkEnd w:id="23"/>
    <w:bookmarkStart w:id="24" w:name="stunden-67-datensicherheit"/>
    <w:p>
      <w:pPr>
        <w:pStyle w:val="Heading2"/>
      </w:pPr>
      <w:r>
        <w:t xml:space="preserve">Stunden 6–7 – Datensicherheit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schützen wir Konten und Daten?</w:t>
      </w:r>
    </w:p>
    <w:p>
      <w:pPr>
        <w:pStyle w:val="BodyText"/>
      </w:pPr>
      <w:r>
        <w:t xml:space="preserve">Schwerpunkte: Passwortsicherheit, Mehrfaktor-Authentisierung, Phishing, Backupstrategie, Cyberkriminalität.</w:t>
      </w:r>
    </w:p>
    <w:p>
      <w:pPr>
        <w:pStyle w:val="BodyText"/>
      </w:pPr>
      <w:r>
        <w:t xml:space="preserve">Bei Sicherheitsbeispielen defensiv und alltagsbezogen bleiben. Keine Anleitung zu Angriffstechniken.</w:t>
      </w:r>
    </w:p>
    <w:bookmarkEnd w:id="24"/>
    <w:bookmarkStart w:id="25" w:name="stunden-89-asymmetrische-verschlüsselung"/>
    <w:p>
      <w:pPr>
        <w:pStyle w:val="Heading2"/>
      </w:pPr>
      <w:r>
        <w:t xml:space="preserve">Stunden 8–9 – Asymmetrische Verschlüsselung</w:t>
      </w:r>
    </w:p>
    <w:p>
      <w:pPr>
        <w:pStyle w:val="FirstParagraph"/>
      </w:pPr>
      <w:r>
        <w:rPr>
          <w:bCs/>
          <w:b/>
        </w:rPr>
        <w:t xml:space="preserve">Leitfrage:</w:t>
      </w:r>
      <w:r>
        <w:t xml:space="preserve"> </w:t>
      </w:r>
      <w:r>
        <w:t xml:space="preserve">Warum braucht man bei modernen Verfahren zwei Schlüssel?</w:t>
      </w:r>
    </w:p>
    <w:p>
      <w:pPr>
        <w:pStyle w:val="BodyText"/>
      </w:pPr>
      <w:r>
        <w:t xml:space="preserve">Schwerpunkte: öffentlicher/privater Schlüssel, Unterschied zur symmetrischen Verschlüsselung, Einwegidee und Grenzen der Rechenleistung.</w:t>
      </w:r>
    </w:p>
    <w:p>
      <w:pPr>
        <w:pStyle w:val="BodyText"/>
      </w:pPr>
      <w:r>
        <w:t xml:space="preserve">Keine mathematische Herleitung von RSA erforderlich. Ziel ist das konzeptuelle Verständnis.</w:t>
      </w:r>
    </w:p>
    <w:bookmarkEnd w:id="25"/>
    <w:bookmarkStart w:id="26" w:name="fehlvorstellungen"/>
    <w:p>
      <w:pPr>
        <w:pStyle w:val="Heading2"/>
      </w:pPr>
      <w:r>
        <w:t xml:space="preserve">Fehlvorstellungen</w:t>
      </w:r>
    </w:p>
    <w:p>
      <w:pPr>
        <w:numPr>
          <w:ilvl w:val="0"/>
          <w:numId w:val="1002"/>
        </w:numPr>
        <w:pStyle w:val="Compact"/>
      </w:pPr>
      <w:r>
        <w:t xml:space="preserve">„Webbasiert bedeutet, dass alles auf dem Server läuft.“ – Moderne Anwendungen verteilen Aufgaben zwischen Client und Server.</w:t>
      </w:r>
    </w:p>
    <w:p>
      <w:pPr>
        <w:numPr>
          <w:ilvl w:val="0"/>
          <w:numId w:val="1002"/>
        </w:numPr>
        <w:pStyle w:val="Compact"/>
      </w:pPr>
      <w:r>
        <w:t xml:space="preserve">„Öffentliches WLAN bedeutet öffentliche Daten.“ – Netzwerkzugang und Sichtbarkeit von Inhalten sind unterschiedliche Ebenen.</w:t>
      </w:r>
    </w:p>
    <w:p>
      <w:pPr>
        <w:numPr>
          <w:ilvl w:val="0"/>
          <w:numId w:val="1002"/>
        </w:numPr>
        <w:pStyle w:val="Compact"/>
      </w:pPr>
      <w:r>
        <w:t xml:space="preserve">„Ein langes Passwort darf ich überall wiederverwenden.“ – Wiederverwendung erhöht das Folgerisiko kompromittierter Konten.</w:t>
      </w:r>
    </w:p>
    <w:p>
      <w:pPr>
        <w:numPr>
          <w:ilvl w:val="0"/>
          <w:numId w:val="1002"/>
        </w:numPr>
        <w:pStyle w:val="Compact"/>
      </w:pPr>
      <w:r>
        <w:t xml:space="preserve">„Öffentlicher Schlüssel = geheime Information öffentlich.“ – Der öffentliche Schlüssel ist zur Veröffentlichung gedacht; der private Schlüssel bleibt geheim.</w:t>
      </w:r>
    </w:p>
    <w:bookmarkEnd w:id="26"/>
    <w:bookmarkStart w:id="29" w:name="differenzierung"/>
    <w:p>
      <w:pPr>
        <w:pStyle w:val="Heading2"/>
      </w:pPr>
      <w:r>
        <w:t xml:space="preserve">Differenzierung</w:t>
      </w:r>
    </w:p>
    <w:bookmarkStart w:id="27" w:name="basis"/>
    <w:p>
      <w:pPr>
        <w:pStyle w:val="Heading3"/>
      </w:pPr>
      <w:r>
        <w:t xml:space="preserve">Basis</w:t>
      </w:r>
    </w:p>
    <w:p>
      <w:pPr>
        <w:numPr>
          <w:ilvl w:val="0"/>
          <w:numId w:val="1003"/>
        </w:numPr>
        <w:pStyle w:val="Compact"/>
      </w:pPr>
      <w:r>
        <w:t xml:space="preserve">Begriffe anhand konkreter Beispiele zuordnen</w:t>
      </w:r>
    </w:p>
    <w:p>
      <w:pPr>
        <w:numPr>
          <w:ilvl w:val="0"/>
          <w:numId w:val="1003"/>
        </w:numPr>
        <w:pStyle w:val="Compact"/>
      </w:pPr>
      <w:r>
        <w:t xml:space="preserve">Client/Server-Diagramme ergänzen</w:t>
      </w:r>
    </w:p>
    <w:p>
      <w:pPr>
        <w:numPr>
          <w:ilvl w:val="0"/>
          <w:numId w:val="1003"/>
        </w:numPr>
        <w:pStyle w:val="Compact"/>
      </w:pPr>
      <w:r>
        <w:t xml:space="preserve">HTML-Vorlage verändern</w:t>
      </w:r>
    </w:p>
    <w:p>
      <w:pPr>
        <w:numPr>
          <w:ilvl w:val="0"/>
          <w:numId w:val="1003"/>
        </w:numPr>
        <w:pStyle w:val="Compact"/>
      </w:pPr>
      <w:r>
        <w:t xml:space="preserve">Sicherheitsentscheidungen begründen</w:t>
      </w:r>
    </w:p>
    <w:bookmarkEnd w:id="27"/>
    <w:bookmarkStart w:id="28" w:name="erweiterung"/>
    <w:p>
      <w:pPr>
        <w:pStyle w:val="Heading3"/>
      </w:pPr>
      <w:r>
        <w:t xml:space="preserve">Erweiterung</w:t>
      </w:r>
    </w:p>
    <w:p>
      <w:pPr>
        <w:numPr>
          <w:ilvl w:val="0"/>
          <w:numId w:val="1004"/>
        </w:numPr>
        <w:pStyle w:val="Compact"/>
      </w:pPr>
      <w:r>
        <w:t xml:space="preserve">einfache CSS-Regeln</w:t>
      </w:r>
    </w:p>
    <w:p>
      <w:pPr>
        <w:numPr>
          <w:ilvl w:val="0"/>
          <w:numId w:val="1004"/>
        </w:numPr>
        <w:pStyle w:val="Compact"/>
      </w:pPr>
      <w:r>
        <w:t xml:space="preserve">Netzwerkablauf detaillierter beschreiben</w:t>
      </w:r>
    </w:p>
    <w:p>
      <w:pPr>
        <w:numPr>
          <w:ilvl w:val="0"/>
          <w:numId w:val="1004"/>
        </w:numPr>
        <w:pStyle w:val="Compact"/>
      </w:pPr>
      <w:r>
        <w:t xml:space="preserve">Berechtigungsmodelle vergleichen</w:t>
      </w:r>
    </w:p>
    <w:p>
      <w:pPr>
        <w:numPr>
          <w:ilvl w:val="0"/>
          <w:numId w:val="1004"/>
        </w:numPr>
        <w:pStyle w:val="Compact"/>
      </w:pPr>
      <w:r>
        <w:t xml:space="preserve">Grenzen und Voraussetzungen kryptografischer Sicherheit diskutieren</w:t>
      </w:r>
    </w:p>
    <w:bookmarkEnd w:id="28"/>
    <w:bookmarkEnd w:id="29"/>
    <w:bookmarkStart w:id="30" w:name="prüfungsrelevanz"/>
    <w:p>
      <w:pPr>
        <w:pStyle w:val="Heading2"/>
      </w:pPr>
      <w:r>
        <w:t xml:space="preserve">Prüfungsrelevanz</w:t>
      </w:r>
    </w:p>
    <w:p>
      <w:pPr>
        <w:pStyle w:val="FirstParagraph"/>
      </w:pPr>
      <w:r>
        <w:t xml:space="preserve">Prüfbar sind insbesondere:</w:t>
      </w:r>
    </w:p>
    <w:p>
      <w:pPr>
        <w:numPr>
          <w:ilvl w:val="0"/>
          <w:numId w:val="1005"/>
        </w:numPr>
        <w:pStyle w:val="Compact"/>
      </w:pPr>
      <w:r>
        <w:t xml:space="preserve">lokal vs. webbasiert</w:t>
      </w:r>
    </w:p>
    <w:p>
      <w:pPr>
        <w:numPr>
          <w:ilvl w:val="0"/>
          <w:numId w:val="1005"/>
        </w:numPr>
        <w:pStyle w:val="Compact"/>
      </w:pPr>
      <w:r>
        <w:t xml:space="preserve">Client, Server, Protokoll und Zugriffsrechte</w:t>
      </w:r>
    </w:p>
    <w:p>
      <w:pPr>
        <w:numPr>
          <w:ilvl w:val="0"/>
          <w:numId w:val="1005"/>
        </w:numPr>
        <w:pStyle w:val="Compact"/>
      </w:pPr>
      <w:r>
        <w:t xml:space="preserve">Klassen/Objekte/Attribute in einfachen Webbeispielen</w:t>
      </w:r>
    </w:p>
    <w:p>
      <w:pPr>
        <w:numPr>
          <w:ilvl w:val="0"/>
          <w:numId w:val="1005"/>
        </w:numPr>
        <w:pStyle w:val="Compact"/>
      </w:pPr>
      <w:r>
        <w:t xml:space="preserve">privater/öffentlicher Bereich</w:t>
      </w:r>
    </w:p>
    <w:p>
      <w:pPr>
        <w:numPr>
          <w:ilvl w:val="0"/>
          <w:numId w:val="1005"/>
        </w:numPr>
        <w:pStyle w:val="Compact"/>
      </w:pPr>
      <w:r>
        <w:t xml:space="preserve">Cookies, Standortdaten, Passwort- und Backupsicherheit</w:t>
      </w:r>
    </w:p>
    <w:p>
      <w:pPr>
        <w:numPr>
          <w:ilvl w:val="0"/>
          <w:numId w:val="1005"/>
        </w:numPr>
        <w:pStyle w:val="Compact"/>
      </w:pPr>
      <w:r>
        <w:t xml:space="preserve">öffentlicher und privater Schlüssel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v0.4.0-367-gb55ec7c-dirty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Webbasierte Anwendungen</dc:title>
  <dc:creator/>
  <dc:language>de-DE</dc:language>
  <cp:keywords/>
  <dcterms:created xsi:type="dcterms:W3CDTF">2026-08-17T19:44:02Z</dcterms:created>
  <dcterms:modified xsi:type="dcterms:W3CDTF">2026-08-17T19:44:02Z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Lehrerband</vt:lpwstr>
  </property>
  <property fmtid="{D5CDD505-2E9C-101B-9397-08002B2CF9AE}" pid="3" name="toc-title">
    <vt:lpwstr>Inhaltsverzeichnis</vt:lpwstr>
  </property>
</Properties>
</file>