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Dokumentation</w:t>
      </w:r>
    </w:p>
    <w:p>
      <w:pPr>
        <w:pStyle w:val="Subtitle"/>
      </w:pPr>
      <w:r>
        <w:t xml:space="preserve">ADR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1" w:name="X37940aba8525b9a0322820447c3ad12ee76fcd9"/>
    <w:p>
      <w:pPr>
        <w:pStyle w:val="Heading1"/>
      </w:pPr>
      <w:r>
        <w:t xml:space="preserve">ADR-001 – Ein Thema wird genau einmal erklärt</w:t>
      </w:r>
    </w:p>
    <w:bookmarkStart w:id="20" w:name="entscheidung"/>
    <w:p>
      <w:pPr>
        <w:pStyle w:val="Heading2"/>
      </w:pPr>
      <w:r>
        <w:t xml:space="preserve">Entscheidung</w:t>
      </w:r>
    </w:p>
    <w:p>
      <w:pPr>
        <w:pStyle w:val="FirstParagraph"/>
      </w:pPr>
      <w:r>
        <w:t xml:space="preserve">Fachliche Inhalte werden nur einmal gepflegt. Alle Unterrichtsmaterialien verweisen auf diese Quelle.</w:t>
      </w:r>
    </w:p>
    <w:p>
      <w:r>
        <w:br w:type="page"/>
      </w:r>
    </w:p>
    <w:bookmarkEnd w:id="20"/>
    <w:bookmarkEnd w:id="21"/>
    <w:bookmarkStart w:id="23" w:name="adr-002-standards-vor-implementierungen"/>
    <w:p>
      <w:pPr>
        <w:pStyle w:val="Heading1"/>
      </w:pPr>
      <w:r>
        <w:t xml:space="preserve">ADR-002 – Standards vor Implementierungen</w:t>
      </w:r>
    </w:p>
    <w:bookmarkStart w:id="22" w:name="entscheidung-1"/>
    <w:p>
      <w:pPr>
        <w:pStyle w:val="Heading2"/>
      </w:pPr>
      <w:r>
        <w:t xml:space="preserve">Entscheidung</w:t>
      </w:r>
    </w:p>
    <w:p>
      <w:pPr>
        <w:pStyle w:val="FirstParagraph"/>
      </w:pPr>
      <w:r>
        <w:t xml:space="preserve">Standards (z.B. SQL) werden getrennt von Implementierungen (z.B. SQLite, Oracle, PostgreSQL) dokumentiert.</w:t>
      </w:r>
    </w:p>
    <w:p>
      <w:r>
        <w:br w:type="page"/>
      </w:r>
    </w:p>
    <w:bookmarkEnd w:id="22"/>
    <w:bookmarkEnd w:id="23"/>
    <w:bookmarkStart w:id="28" w:name="adr-003-publishing-profile"/>
    <w:p>
      <w:pPr>
        <w:pStyle w:val="Heading1"/>
      </w:pPr>
      <w:r>
        <w:t xml:space="preserve">ADR-003 – Publishing-Profile</w:t>
      </w:r>
    </w:p>
    <w:bookmarkStart w:id="24" w:name="arbeitsheft"/>
    <w:p>
      <w:pPr>
        <w:pStyle w:val="Heading2"/>
      </w:pPr>
      <w:r>
        <w:t xml:space="preserve">Arbeitsheft</w:t>
      </w:r>
    </w:p>
    <w:p>
      <w:pPr>
        <w:pStyle w:val="FirstParagraph"/>
      </w:pPr>
      <w:r>
        <w:t xml:space="preserve">Zusammenfassung mit Seitenumbrüchen.</w:t>
      </w:r>
    </w:p>
    <w:bookmarkEnd w:id="24"/>
    <w:bookmarkStart w:id="25" w:name="referenz"/>
    <w:p>
      <w:pPr>
        <w:pStyle w:val="Heading2"/>
      </w:pPr>
      <w:r>
        <w:t xml:space="preserve">Referenz</w:t>
      </w:r>
    </w:p>
    <w:p>
      <w:pPr>
        <w:pStyle w:val="FirstParagraph"/>
      </w:pPr>
      <w:r>
        <w:t xml:space="preserve">Lehrerband, Material, Lösungen und Quellen werden zusammengefasst und ohne erzwungene Kapitelumbrüche erzeugt.</w:t>
      </w:r>
    </w:p>
    <w:bookmarkEnd w:id="25"/>
    <w:bookmarkStart w:id="26" w:name="präsentationen"/>
    <w:p>
      <w:pPr>
        <w:pStyle w:val="Heading2"/>
      </w:pPr>
      <w:r>
        <w:t xml:space="preserve">Präsentationen</w:t>
      </w:r>
    </w:p>
    <w:p>
      <w:pPr>
        <w:pStyle w:val="FirstParagraph"/>
      </w:pPr>
      <w:r>
        <w:t xml:space="preserve">Eigenes Profil.</w:t>
      </w:r>
    </w:p>
    <w:bookmarkEnd w:id="26"/>
    <w:bookmarkStart w:id="27" w:name="lernkontrollen"/>
    <w:p>
      <w:pPr>
        <w:pStyle w:val="Heading2"/>
      </w:pPr>
      <w:r>
        <w:t xml:space="preserve">Lernkontrollen</w:t>
      </w:r>
    </w:p>
    <w:p>
      <w:pPr>
        <w:pStyle w:val="FirstParagraph"/>
      </w:pPr>
      <w:r>
        <w:t xml:space="preserve">Keine Zusammenfassung. Jede Lernkontrolle und jede Lösung ist ein eigenes Dokument.</w:t>
      </w:r>
    </w:p>
    <w:p>
      <w:r>
        <w:br w:type="page"/>
      </w:r>
    </w:p>
    <w:bookmarkEnd w:id="27"/>
    <w:bookmarkEnd w:id="28"/>
    <w:bookmarkStart w:id="29" w:name="adr-004-einheitliche-werkteilstruktur"/>
    <w:p>
      <w:pPr>
        <w:pStyle w:val="Heading1"/>
      </w:pPr>
      <w:r>
        <w:t xml:space="preserve">ADR-004 – Einheitliche Werkteilstruktur</w:t>
      </w:r>
    </w:p>
    <w:p>
      <w:pPr>
        <w:pStyle w:val="FirstParagraph"/>
      </w:pPr>
      <w:r>
        <w:t xml:space="preserve">01_Arbeitsheft</w:t>
      </w:r>
      <w:r>
        <w:t xml:space="preserve"> </w:t>
      </w:r>
      <w:r>
        <w:t xml:space="preserve">02_Lehrerband</w:t>
      </w:r>
      <w:r>
        <w:t xml:space="preserve"> </w:t>
      </w:r>
      <w:r>
        <w:t xml:space="preserve">03_Material</w:t>
      </w:r>
      <w:r>
        <w:t xml:space="preserve"> </w:t>
      </w:r>
      <w:r>
        <w:t xml:space="preserve">04_Loesungen</w:t>
      </w:r>
      <w:r>
        <w:t xml:space="preserve"> </w:t>
      </w:r>
      <w:r>
        <w:t xml:space="preserve">05_Praesentationen</w:t>
      </w:r>
      <w:r>
        <w:t xml:space="preserve"> </w:t>
      </w:r>
      <w:r>
        <w:t xml:space="preserve">06_Dateien</w:t>
      </w:r>
      <w:r>
        <w:t xml:space="preserve"> </w:t>
      </w:r>
      <w:r>
        <w:t xml:space="preserve">07_Quellen</w:t>
      </w:r>
      <w:r>
        <w:t xml:space="preserve"> </w:t>
      </w:r>
      <w:r>
        <w:t xml:space="preserve">08_Bilder</w:t>
      </w:r>
      <w:r>
        <w:t xml:space="preserve"> </w:t>
      </w:r>
      <w:r>
        <w:t xml:space="preserve">09_Lernkontrollen</w:t>
      </w:r>
    </w:p>
    <w:p>
      <w:pPr>
        <w:pStyle w:val="BodyText"/>
      </w:pPr>
      <w:r>
        <w:t xml:space="preserve">Technische Dateien liegen in Unterordnern (z.B. json).</w:t>
      </w:r>
    </w:p>
    <w:p>
      <w:r>
        <w:br w:type="page"/>
      </w:r>
    </w:p>
    <w:bookmarkEnd w:id="29"/>
    <w:bookmarkStart w:id="30" w:name="adr-005-build-und-publishing"/>
    <w:p>
      <w:pPr>
        <w:pStyle w:val="Heading1"/>
      </w:pPr>
      <w:r>
        <w:t xml:space="preserve">ADR-005 – Build und Publishing</w:t>
      </w:r>
    </w:p>
    <w:p>
      <w:pPr>
        <w:pStyle w:val="FirstParagraph"/>
      </w:pPr>
      <w:r>
        <w:t xml:space="preserve">Quellen liegen auf main.</w:t>
      </w:r>
      <w:r>
        <w:t xml:space="preserve"> </w:t>
      </w:r>
      <w:r>
        <w:t xml:space="preserve">Generierte Dokumente werden über GitHub Pages veröffentlicht.</w:t>
      </w:r>
      <w:r>
        <w:t xml:space="preserve"> </w:t>
      </w:r>
      <w:r>
        <w:t xml:space="preserve">Ausgabeformate: HTML, DOCX und PDF.</w:t>
      </w:r>
    </w:p>
    <w:p>
      <w:r>
        <w:br w:type="page"/>
      </w:r>
    </w:p>
    <w:bookmarkEnd w:id="30"/>
    <w:bookmarkStart w:id="34" w:name="adr-006-single-source-of-truth"/>
    <w:p>
      <w:pPr>
        <w:pStyle w:val="Heading1"/>
      </w:pPr>
      <w:r>
        <w:t xml:space="preserve">ADR-006 – Single Source of Truth</w:t>
      </w:r>
    </w:p>
    <w:bookmarkStart w:id="31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Akzeptiert</w:t>
      </w:r>
    </w:p>
    <w:bookmarkEnd w:id="31"/>
    <w:bookmarkStart w:id="32" w:name="entscheidung-2"/>
    <w:p>
      <w:pPr>
        <w:pStyle w:val="Heading2"/>
      </w:pPr>
      <w:r>
        <w:t xml:space="preserve">Entscheidung</w:t>
      </w:r>
    </w:p>
    <w:p>
      <w:pPr>
        <w:pStyle w:val="FirstParagraph"/>
      </w:pPr>
      <w:r>
        <w:t xml:space="preserve">Markdown ist die einzige Quelle (Single Source of Truth).</w:t>
      </w:r>
    </w:p>
    <w:p>
      <w:pPr>
        <w:pStyle w:val="BodyText"/>
      </w:pPr>
      <w:r>
        <w:t xml:space="preserve">Alle anderen Formate werden automatisch erzeugt:</w:t>
      </w:r>
      <w:r>
        <w:t xml:space="preserve"> </w:t>
      </w:r>
      <w:r>
        <w:t xml:space="preserve">- DOCX</w:t>
      </w:r>
      <w:r>
        <w:t xml:space="preserve"> </w:t>
      </w:r>
      <w:r>
        <w:t xml:space="preserve">- PDF</w:t>
      </w:r>
      <w:r>
        <w:t xml:space="preserve"> </w:t>
      </w:r>
      <w:r>
        <w:t xml:space="preserve">- HTML</w:t>
      </w:r>
      <w:r>
        <w:t xml:space="preserve"> </w:t>
      </w:r>
      <w:r>
        <w:t xml:space="preserve">- später ggf. EPUB</w:t>
      </w:r>
    </w:p>
    <w:bookmarkEnd w:id="32"/>
    <w:bookmarkStart w:id="33" w:name="konsequenzen"/>
    <w:p>
      <w:pPr>
        <w:pStyle w:val="Heading2"/>
      </w:pPr>
      <w:r>
        <w:t xml:space="preserve">Konsequenzen</w:t>
      </w:r>
    </w:p>
    <w:p>
      <w:pPr>
        <w:numPr>
          <w:ilvl w:val="0"/>
          <w:numId w:val="1001"/>
        </w:numPr>
        <w:pStyle w:val="Compact"/>
      </w:pPr>
      <w:r>
        <w:t xml:space="preserve">Keine manuelle Bearbeitung generierter Dokumente.</w:t>
      </w:r>
    </w:p>
    <w:p>
      <w:pPr>
        <w:numPr>
          <w:ilvl w:val="0"/>
          <w:numId w:val="1001"/>
        </w:numPr>
        <w:pStyle w:val="Compact"/>
      </w:pPr>
      <w:r>
        <w:t xml:space="preserve">Änderungen erfolgen ausschließlich an Markdown-Dateien.</w:t>
      </w:r>
    </w:p>
    <w:p>
      <w:r>
        <w:br w:type="page"/>
      </w:r>
    </w:p>
    <w:bookmarkEnd w:id="33"/>
    <w:bookmarkEnd w:id="34"/>
    <w:bookmarkStart w:id="36" w:name="adr-007-build-artefakte"/>
    <w:p>
      <w:pPr>
        <w:pStyle w:val="Heading1"/>
      </w:pPr>
      <w:r>
        <w:t xml:space="preserve">ADR-007 – Build-Artefakte</w:t>
      </w:r>
    </w:p>
    <w:bookmarkStart w:id="35" w:name="status-1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Akzeptiert</w:t>
      </w:r>
    </w:p>
    <w:p>
      <w:pPr>
        <w:pStyle w:val="BodyText"/>
      </w:pPr>
      <w:r>
        <w:t xml:space="preserve">Quellen liegen auf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t xml:space="preserve">Generierte Artefakte werden ausschließlich durch die Build-Pipeline erzeugt und über GitHub Pages veröffentlicht.</w:t>
      </w:r>
    </w:p>
    <w:p>
      <w:pPr>
        <w:pStyle w:val="BodyText"/>
      </w:pPr>
      <w:r>
        <w:t xml:space="preserve">Sie werden nicht versioniert.</w:t>
      </w:r>
    </w:p>
    <w:p>
      <w:r>
        <w:br w:type="page"/>
      </w:r>
    </w:p>
    <w:bookmarkEnd w:id="35"/>
    <w:bookmarkEnd w:id="36"/>
    <w:bookmarkStart w:id="41" w:name="adr-008-dokumenttypen"/>
    <w:p>
      <w:pPr>
        <w:pStyle w:val="Heading1"/>
      </w:pPr>
      <w:r>
        <w:t xml:space="preserve">ADR-008 – Dokumenttypen</w:t>
      </w:r>
    </w:p>
    <w:bookmarkStart w:id="37" w:name="arbeitsheft-1"/>
    <w:p>
      <w:pPr>
        <w:pStyle w:val="Heading2"/>
      </w:pPr>
      <w:r>
        <w:t xml:space="preserve">Arbeitsheft</w:t>
      </w:r>
    </w:p>
    <w:p>
      <w:pPr>
        <w:pStyle w:val="FirstParagraph"/>
      </w:pPr>
      <w:r>
        <w:t xml:space="preserve">Arbeitsdokument mit Seitenumbrüchen pro Kapitel.</w:t>
      </w:r>
    </w:p>
    <w:bookmarkEnd w:id="37"/>
    <w:bookmarkStart w:id="38" w:name="referenz-1"/>
    <w:p>
      <w:pPr>
        <w:pStyle w:val="Heading2"/>
      </w:pPr>
      <w:r>
        <w:t xml:space="preserve">Referenz</w:t>
      </w:r>
    </w:p>
    <w:p>
      <w:pPr>
        <w:pStyle w:val="FirstParagraph"/>
      </w:pPr>
      <w:r>
        <w:t xml:space="preserve">Lehrerband, Material, Lösungen und Quellen.</w:t>
      </w:r>
      <w:r>
        <w:t xml:space="preserve"> </w:t>
      </w:r>
      <w:r>
        <w:t xml:space="preserve">Fortlaufendes Layout ohne erzwungene Kapitelumbrüche.</w:t>
      </w:r>
    </w:p>
    <w:bookmarkEnd w:id="38"/>
    <w:bookmarkStart w:id="39" w:name="präsentation"/>
    <w:p>
      <w:pPr>
        <w:pStyle w:val="Heading2"/>
      </w:pPr>
      <w:r>
        <w:t xml:space="preserve">Präsentation</w:t>
      </w:r>
    </w:p>
    <w:p>
      <w:pPr>
        <w:pStyle w:val="FirstParagraph"/>
      </w:pPr>
      <w:r>
        <w:t xml:space="preserve">Eigenes Präsentationslayout.</w:t>
      </w:r>
    </w:p>
    <w:bookmarkEnd w:id="39"/>
    <w:bookmarkStart w:id="40" w:name="lernkontrollen-1"/>
    <w:p>
      <w:pPr>
        <w:pStyle w:val="Heading2"/>
      </w:pPr>
      <w:r>
        <w:t xml:space="preserve">Lernkontrollen</w:t>
      </w:r>
    </w:p>
    <w:p>
      <w:pPr>
        <w:pStyle w:val="FirstParagraph"/>
      </w:pPr>
      <w:r>
        <w:t xml:space="preserve">Jede Lernkontrolle und jede Lösung wird als eigenes Dokument veröffentlicht.</w:t>
      </w:r>
    </w:p>
    <w:p>
      <w:r>
        <w:br w:type="page"/>
      </w:r>
    </w:p>
    <w:bookmarkEnd w:id="40"/>
    <w:bookmarkEnd w:id="41"/>
    <w:bookmarkStart w:id="43" w:name="adr-009-nummerierung"/>
    <w:p>
      <w:pPr>
        <w:pStyle w:val="Heading1"/>
      </w:pPr>
      <w:r>
        <w:t xml:space="preserve">ADR-009 – Nummerierung</w:t>
      </w:r>
    </w:p>
    <w:bookmarkStart w:id="42" w:name="status-2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Akzeptiert</w:t>
      </w:r>
    </w:p>
    <w:p>
      <w:pPr>
        <w:pStyle w:val="BodyText"/>
      </w:pPr>
      <w:r>
        <w:t xml:space="preserve">Ordner und Werkteile werden dauerhaft zweistellig nummeriert.</w:t>
      </w:r>
    </w:p>
    <w:p>
      <w:pPr>
        <w:pStyle w:val="BodyText"/>
      </w:pPr>
      <w:r>
        <w:t xml:space="preserve">Beispiele:</w:t>
      </w:r>
      <w:r>
        <w:t xml:space="preserve"> </w:t>
      </w:r>
      <w:r>
        <w:t xml:space="preserve">01_Arbeitsheft</w:t>
      </w:r>
      <w:r>
        <w:t xml:space="preserve"> </w:t>
      </w:r>
      <w:r>
        <w:t xml:space="preserve">02_Lehrerband</w:t>
      </w:r>
      <w:r>
        <w:t xml:space="preserve"> </w:t>
      </w:r>
      <w:r>
        <w:t xml:space="preserve">03_Material</w:t>
      </w:r>
    </w:p>
    <w:p>
      <w:pPr>
        <w:pStyle w:val="BodyText"/>
      </w:pPr>
      <w:r>
        <w:t xml:space="preserve">Die Nummern sind Bestandteil der Projektstruktur und werden nicht verändert.</w:t>
      </w:r>
    </w:p>
    <w:p>
      <w:r>
        <w:br w:type="page"/>
      </w:r>
    </w:p>
    <w:bookmarkEnd w:id="42"/>
    <w:bookmarkEnd w:id="43"/>
    <w:bookmarkStart w:id="45" w:name="adr-010-wiederverwendung"/>
    <w:p>
      <w:pPr>
        <w:pStyle w:val="Heading1"/>
      </w:pPr>
      <w:r>
        <w:t xml:space="preserve">ADR-010 – Wiederverwendung</w:t>
      </w:r>
    </w:p>
    <w:bookmarkStart w:id="44" w:name="status-3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Akzeptiert</w:t>
      </w:r>
    </w:p>
    <w:p>
      <w:pPr>
        <w:pStyle w:val="BodyText"/>
      </w:pPr>
      <w:r>
        <w:t xml:space="preserve">Fachliche Inhalte werden nicht mehrfach gepflegt.</w:t>
      </w:r>
    </w:p>
    <w:p>
      <w:pPr>
        <w:pStyle w:val="BodyText"/>
      </w:pPr>
      <w:r>
        <w:t xml:space="preserve">Klassenmaterialien verweisen auf Grundlagen und Werkzeuge.</w:t>
      </w:r>
    </w:p>
    <w:p>
      <w:r>
        <w:br w:type="page"/>
      </w:r>
    </w:p>
    <w:bookmarkEnd w:id="44"/>
    <w:bookmarkEnd w:id="45"/>
    <w:bookmarkStart w:id="47" w:name="adr-011-durchgängige-beispiele"/>
    <w:p>
      <w:pPr>
        <w:pStyle w:val="Heading1"/>
      </w:pPr>
      <w:r>
        <w:t xml:space="preserve">ADR-011 – Durchgängige Beispiele</w:t>
      </w:r>
    </w:p>
    <w:bookmarkStart w:id="46" w:name="status-4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Akzeptiert</w:t>
      </w:r>
    </w:p>
    <w:p>
      <w:pPr>
        <w:pStyle w:val="BodyText"/>
      </w:pPr>
      <w:r>
        <w:t xml:space="preserve">Grundlagen verwenden nach Möglichkeit eine gemeinsame Beispieldomäne.</w:t>
      </w:r>
    </w:p>
    <w:p>
      <w:pPr>
        <w:pStyle w:val="BodyText"/>
      </w:pPr>
      <w:r>
        <w:t xml:space="preserve">Beispiel SQL:</w:t>
      </w:r>
      <w:r>
        <w:t xml:space="preserve"> </w:t>
      </w:r>
      <w:r>
        <w:t xml:space="preserve">- Schüler</w:t>
      </w:r>
      <w:r>
        <w:t xml:space="preserve"> </w:t>
      </w:r>
      <w:r>
        <w:t xml:space="preserve">- Lehrkräfte</w:t>
      </w:r>
      <w:r>
        <w:t xml:space="preserve"> </w:t>
      </w:r>
      <w:r>
        <w:t xml:space="preserve">- Klassen</w:t>
      </w:r>
      <w:r>
        <w:t xml:space="preserve"> </w:t>
      </w:r>
      <w:r>
        <w:t xml:space="preserve">- Fächer</w:t>
      </w:r>
      <w:r>
        <w:t xml:space="preserve"> </w:t>
      </w:r>
      <w:r>
        <w:t xml:space="preserve">- Räume</w:t>
      </w:r>
      <w:r>
        <w:t xml:space="preserve"> </w:t>
      </w:r>
      <w:r>
        <w:t xml:space="preserve">- Noten</w:t>
      </w:r>
    </w:p>
    <w:p>
      <w:pPr>
        <w:pStyle w:val="BodyText"/>
      </w:pPr>
      <w:r>
        <w:t xml:space="preserve">Dies erleichtert das Verständnis über mehrere Kapitel hinweg.</w:t>
      </w:r>
    </w:p>
    <w:p>
      <w:r>
        <w:br w:type="page"/>
      </w:r>
    </w:p>
    <w:bookmarkEnd w:id="46"/>
    <w:bookmarkEnd w:id="47"/>
    <w:bookmarkStart w:id="49" w:name="adr-012-progressive-offenlegung"/>
    <w:p>
      <w:pPr>
        <w:pStyle w:val="Heading1"/>
      </w:pPr>
      <w:r>
        <w:t xml:space="preserve">ADR-012 – Progressive Offenlegung</w:t>
      </w:r>
    </w:p>
    <w:bookmarkStart w:id="48" w:name="status-5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Akzeptiert</w:t>
      </w:r>
    </w:p>
    <w:p>
      <w:pPr>
        <w:pStyle w:val="BodyText"/>
      </w:pPr>
      <w:r>
        <w:t xml:space="preserve">Inhalte werden schrittweise aufgebaut.</w:t>
      </w:r>
    </w:p>
    <w:p>
      <w:pPr>
        <w:pStyle w:val="BodyText"/>
      </w:pPr>
      <w:r>
        <w:t xml:space="preserve">Klasse 7 → Grundlagen</w:t>
      </w:r>
      <w:r>
        <w:t xml:space="preserve"> </w:t>
      </w:r>
      <w:r>
        <w:t xml:space="preserve">Klasse 8 → Vertiefung</w:t>
      </w:r>
      <w:r>
        <w:t xml:space="preserve"> </w:t>
      </w:r>
      <w:r>
        <w:t xml:space="preserve">Klasse 9 → Anwendung</w:t>
      </w:r>
      <w:r>
        <w:t xml:space="preserve"> </w:t>
      </w:r>
      <w:r>
        <w:t xml:space="preserve">Klasse 10 → Erweiterung</w:t>
      </w:r>
    </w:p>
    <w:p>
      <w:pPr>
        <w:pStyle w:val="BodyText"/>
      </w:pPr>
      <w:r>
        <w:t xml:space="preserve">Fortgeschrittene Themen folgen später.</w:t>
      </w:r>
    </w:p>
    <w:p>
      <w:r>
        <w:br w:type="page"/>
      </w:r>
    </w:p>
    <w:bookmarkEnd w:id="48"/>
    <w:bookmarkEnd w:id="49"/>
    <w:bookmarkStart w:id="51" w:name="adr-013-technologieunabhängigkeit"/>
    <w:p>
      <w:pPr>
        <w:pStyle w:val="Heading1"/>
      </w:pPr>
      <w:r>
        <w:t xml:space="preserve">ADR-013 – Technologieunabhängigkeit</w:t>
      </w:r>
    </w:p>
    <w:bookmarkStart w:id="50" w:name="status-6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Akzeptiert</w:t>
      </w:r>
    </w:p>
    <w:p>
      <w:pPr>
        <w:pStyle w:val="BodyText"/>
      </w:pPr>
      <w:r>
        <w:t xml:space="preserve">Das Lehrwerk vermittelt zuerst Standards und Konzepte.</w:t>
      </w:r>
    </w:p>
    <w:p>
      <w:pPr>
        <w:pStyle w:val="BodyText"/>
      </w:pPr>
      <w:r>
        <w:t xml:space="preserve">Beispiele:</w:t>
      </w:r>
      <w:r>
        <w:t xml:space="preserve"> </w:t>
      </w:r>
      <w:r>
        <w:t xml:space="preserve">- SQL statt SQLite</w:t>
      </w:r>
      <w:r>
        <w:t xml:space="preserve"> </w:t>
      </w:r>
      <w:r>
        <w:t xml:space="preserve">- Git statt GitHub</w:t>
      </w:r>
    </w:p>
    <w:p>
      <w:pPr>
        <w:pStyle w:val="BodyText"/>
      </w:pPr>
      <w:r>
        <w:t xml:space="preserve">Produktspezifische Informationen gehören in den Bereich Werkzeuge.</w:t>
      </w:r>
    </w:p>
    <w:p>
      <w:r>
        <w:br w:type="page"/>
      </w:r>
    </w:p>
    <w:bookmarkEnd w:id="50"/>
    <w:bookmarkEnd w:id="51"/>
    <w:bookmarkStart w:id="53" w:name="adr-014-vom-allgemeinen-zum-konkreten"/>
    <w:p>
      <w:pPr>
        <w:pStyle w:val="Heading1"/>
      </w:pPr>
      <w:r>
        <w:t xml:space="preserve">ADR-014 – Vom Allgemeinen zum Konkreten</w:t>
      </w:r>
    </w:p>
    <w:bookmarkStart w:id="52" w:name="status-7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Akzeptiert</w:t>
      </w:r>
    </w:p>
    <w:p>
      <w:pPr>
        <w:pStyle w:val="BodyText"/>
      </w:pPr>
      <w:r>
        <w:t xml:space="preserve">Didaktische Reihenfolge:</w:t>
      </w:r>
    </w:p>
    <w:p>
      <w:pPr>
        <w:numPr>
          <w:ilvl w:val="0"/>
          <w:numId w:val="1002"/>
        </w:numPr>
        <w:pStyle w:val="Compact"/>
      </w:pPr>
      <w:r>
        <w:t xml:space="preserve">Konzept verstehen</w:t>
      </w:r>
    </w:p>
    <w:p>
      <w:pPr>
        <w:numPr>
          <w:ilvl w:val="0"/>
          <w:numId w:val="1002"/>
        </w:numPr>
        <w:pStyle w:val="Compact"/>
      </w:pPr>
      <w:r>
        <w:t xml:space="preserve">Allgemeine Regeln</w:t>
      </w:r>
    </w:p>
    <w:p>
      <w:pPr>
        <w:numPr>
          <w:ilvl w:val="0"/>
          <w:numId w:val="1002"/>
        </w:numPr>
        <w:pStyle w:val="Compact"/>
      </w:pPr>
      <w:r>
        <w:t xml:space="preserve">Werkzeug anwenden</w:t>
      </w:r>
    </w:p>
    <w:p>
      <w:pPr>
        <w:numPr>
          <w:ilvl w:val="0"/>
          <w:numId w:val="1002"/>
        </w:numPr>
        <w:pStyle w:val="Compact"/>
      </w:pPr>
      <w:r>
        <w:t xml:space="preserve">Im Unterricht einsetzen</w:t>
      </w:r>
    </w:p>
    <w:p>
      <w:pPr>
        <w:numPr>
          <w:ilvl w:val="0"/>
          <w:numId w:val="1002"/>
        </w:numPr>
        <w:pStyle w:val="Compact"/>
      </w:pPr>
      <w:r>
        <w:t xml:space="preserve">Vertiefen</w:t>
      </w:r>
    </w:p>
    <w:p>
      <w:pPr>
        <w:pStyle w:val="FirstParagraph"/>
      </w:pPr>
      <w:r>
        <w:t xml:space="preserve">Dieses Prinzip gilt projektweit.</w:t>
      </w:r>
    </w:p>
    <w:bookmarkEnd w:id="52"/>
    <w:bookmarkEnd w:id="5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v0.4.0-322-g516fad1-dirty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Dokumentation</dc:title>
  <dc:creator/>
  <dc:language>de-DE</dc:language>
  <cp:keywords/>
  <dcterms:created xsi:type="dcterms:W3CDTF">2026-08-17T05:58:41Z</dcterms:created>
  <dcterms:modified xsi:type="dcterms:W3CDTF">2026-08-17T05:58:41Z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ADR</vt:lpwstr>
  </property>
  <property fmtid="{D5CDD505-2E9C-101B-9397-08002B2CF9AE}" pid="3" name="toc-title">
    <vt:lpwstr>Inhaltsverzeichnis</vt:lpwstr>
  </property>
</Properties>
</file>