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Webbasierte Anwendungen</w:t>
      </w:r>
    </w:p>
    <w:p>
      <w:pPr>
        <w:pStyle w:val="Subtitle"/>
      </w:pPr>
      <w:r>
        <w:t xml:space="preserve">Informatik · Klasse 10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6" w:name="X0d81fe65b61b380371452d7d8914a10f041dd09"/>
    <w:p>
      <w:pPr>
        <w:pStyle w:val="Heading1"/>
      </w:pPr>
      <w:r>
        <w:t xml:space="preserve">Präsentation – Lernbereich 1 Webbasierte Anwendungen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Was macht eine Anwendung webbasiert?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Lokal vs. webbasiert – Beispiele sammeln.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Client → Netzwerk → Server → Antwort.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Netzwerkprotokolle als gemeinsame Regeln.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Hypertext: Inhalte werden durch Links verbunden.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HTML strukturiert Inhalte.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Objektorientierte Sicht: Objekt, Attribut, Attributwert.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Privat oder öffentlich? Sichtbarkeit und Zugriffsrechte.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Standortdaten und Cookies – Zweck prüfen.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Soziale Netzwerke: Kopierbarkeit und dauerhafte Verbreitung.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Passwortsicherheit und Mehrfaktor-Authentisierung.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Backup: eine zusätzliche, getrennte Kopie.</w:t>
      </w:r>
    </w:p>
    <w:bookmarkEnd w:id="31"/>
    <w:bookmarkStart w:id="32" w:name="folie-13"/>
    <w:p>
      <w:pPr>
        <w:pStyle w:val="Heading2"/>
      </w:pPr>
      <w:r>
        <w:t xml:space="preserve">Folie 13</w:t>
      </w:r>
    </w:p>
    <w:p>
      <w:pPr>
        <w:pStyle w:val="FirstParagraph"/>
      </w:pPr>
      <w:r>
        <w:t xml:space="preserve">Phishing erkennen und über unabhängigen Weg prüfen.</w:t>
      </w:r>
    </w:p>
    <w:bookmarkEnd w:id="32"/>
    <w:bookmarkStart w:id="33" w:name="folie-14"/>
    <w:p>
      <w:pPr>
        <w:pStyle w:val="Heading2"/>
      </w:pPr>
      <w:r>
        <w:t xml:space="preserve">Folie 14</w:t>
      </w:r>
    </w:p>
    <w:p>
      <w:pPr>
        <w:pStyle w:val="FirstParagraph"/>
      </w:pPr>
      <w:r>
        <w:t xml:space="preserve">Symmetrisch: ein gemeinsamer geheimer Schlüssel.</w:t>
      </w:r>
    </w:p>
    <w:bookmarkEnd w:id="33"/>
    <w:bookmarkStart w:id="34" w:name="folie-15"/>
    <w:p>
      <w:pPr>
        <w:pStyle w:val="Heading2"/>
      </w:pPr>
      <w:r>
        <w:t xml:space="preserve">Folie 15</w:t>
      </w:r>
    </w:p>
    <w:p>
      <w:pPr>
        <w:pStyle w:val="FirstParagraph"/>
      </w:pPr>
      <w:r>
        <w:t xml:space="preserve">Asymmetrisch: öffentlicher + privater Schlüssel.</w:t>
      </w:r>
    </w:p>
    <w:bookmarkEnd w:id="34"/>
    <w:bookmarkStart w:id="35" w:name="folie-16"/>
    <w:p>
      <w:pPr>
        <w:pStyle w:val="Heading2"/>
      </w:pPr>
      <w:r>
        <w:t xml:space="preserve">Folie 16</w:t>
      </w:r>
    </w:p>
    <w:p>
      <w:pPr>
        <w:pStyle w:val="FirstParagraph"/>
      </w:pPr>
      <w:r>
        <w:t xml:space="preserve">Abschlussfrage: Welche Schutzmaßnahmen wirken technisch, welche hängen vom Verhalten des Menschen ab?</w:t>
      </w:r>
    </w:p>
    <w:bookmarkEnd w:id="35"/>
    <w:bookmarkEnd w:id="3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Webbasierte Anwendungen</dc:title>
  <dc:creator/>
  <dc:language>de-DE</dc:language>
  <cp:keywords/>
  <dcterms:created xsi:type="dcterms:W3CDTF">2026-08-17T05:55:25Z</dcterms:created>
  <dcterms:modified xsi:type="dcterms:W3CDTF">2026-08-17T05:55:25Z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Praesentationen</vt:lpwstr>
  </property>
  <property fmtid="{D5CDD505-2E9C-101B-9397-08002B2CF9AE}" pid="3" name="toc-title">
    <vt:lpwstr>Inhaltsverzeichnis</vt:lpwstr>
  </property>
</Properties>
</file>