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Werkzeuge</w:t>
      </w:r>
    </w:p>
    <w:p>
      <w:pPr>
        <w:pStyle w:val="Subtitle"/>
      </w:pPr>
      <w:r>
        <w:t xml:space="preserve">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qlite-werkzeughandbuch"/>
    <w:p>
      <w:pPr>
        <w:pStyle w:val="Heading1"/>
      </w:pPr>
      <w:r>
        <w:t xml:space="preserve">SQLite – Werkzeughandbuch</w:t>
      </w:r>
    </w:p>
    <w:p>
      <w:pPr>
        <w:pStyle w:val="FirstParagraph"/>
      </w:pPr>
      <w:r>
        <w:t xml:space="preserve">Dieser Bereich beschreibt den praktischen Einsatz von SQLite.</w:t>
      </w:r>
    </w:p>
    <w:p>
      <w:pPr>
        <w:pStyle w:val="BodyText"/>
      </w:pPr>
      <w:r>
        <w:t xml:space="preserve">Die allgemeinen SQL-Grundlagen befinden sich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Hier geht es ausschließlich um SQLite-spezifische Besonderheiten und Werkzeuge.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SQLite installieren</w:t>
      </w:r>
    </w:p>
    <w:p>
      <w:pPr>
        <w:numPr>
          <w:ilvl w:val="0"/>
          <w:numId w:val="1001"/>
        </w:numPr>
        <w:pStyle w:val="Compact"/>
      </w:pPr>
      <w:r>
        <w:t xml:space="preserve">SQLite CLI verwenden</w:t>
      </w:r>
    </w:p>
    <w:p>
      <w:pPr>
        <w:numPr>
          <w:ilvl w:val="0"/>
          <w:numId w:val="1001"/>
        </w:numPr>
        <w:pStyle w:val="Compact"/>
      </w:pPr>
      <w:r>
        <w:t xml:space="preserve">DB Browser for SQLite verwenden</w:t>
      </w:r>
    </w:p>
    <w:p>
      <w:pPr>
        <w:numPr>
          <w:ilvl w:val="0"/>
          <w:numId w:val="1001"/>
        </w:numPr>
        <w:pStyle w:val="Compact"/>
      </w:pPr>
      <w:r>
        <w:t xml:space="preserve">Datenbanken anlegen und öffnen</w:t>
      </w:r>
    </w:p>
    <w:p>
      <w:pPr>
        <w:numPr>
          <w:ilvl w:val="0"/>
          <w:numId w:val="1001"/>
        </w:numPr>
        <w:pStyle w:val="Compact"/>
      </w:pPr>
      <w:r>
        <w:t xml:space="preserve">SQL-Dateien ausführen</w:t>
      </w:r>
    </w:p>
    <w:p>
      <w:pPr>
        <w:numPr>
          <w:ilvl w:val="0"/>
          <w:numId w:val="1001"/>
        </w:numPr>
        <w:pStyle w:val="Compact"/>
      </w:pPr>
      <w:r>
        <w:t xml:space="preserve">CSV importieren und exportieren</w:t>
      </w:r>
    </w:p>
    <w:p>
      <w:pPr>
        <w:numPr>
          <w:ilvl w:val="0"/>
          <w:numId w:val="1001"/>
        </w:numPr>
        <w:pStyle w:val="Compact"/>
      </w:pPr>
      <w:r>
        <w:t xml:space="preserve">Backups erstellen</w:t>
      </w:r>
    </w:p>
    <w:p>
      <w:pPr>
        <w:numPr>
          <w:ilvl w:val="0"/>
          <w:numId w:val="1001"/>
        </w:numPr>
        <w:pStyle w:val="Compact"/>
      </w:pPr>
      <w:r>
        <w:t xml:space="preserve">Fremdschlüssel aktivieren</w:t>
      </w:r>
    </w:p>
    <w:p>
      <w:pPr>
        <w:numPr>
          <w:ilvl w:val="0"/>
          <w:numId w:val="1001"/>
        </w:numPr>
        <w:pStyle w:val="Compact"/>
      </w:pPr>
      <w:r>
        <w:t xml:space="preserve">Datentypen und Type Affinity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INTEGER PRIMARY KEY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AUTOINCREMENT</w:t>
      </w:r>
    </w:p>
    <w:p>
      <w:pPr>
        <w:numPr>
          <w:ilvl w:val="0"/>
          <w:numId w:val="1001"/>
        </w:numPr>
        <w:pStyle w:val="Compact"/>
      </w:pPr>
      <w:r>
        <w:t xml:space="preserve">Besonderheiten bei</w:t>
      </w:r>
      <w:r>
        <w:t xml:space="preserve"> </w:t>
      </w:r>
      <w:r>
        <w:rPr>
          <w:rStyle w:val="VerbatimChar"/>
        </w:rPr>
        <w:t xml:space="preserve">ALTER TABLE</w:t>
      </w:r>
    </w:p>
    <w:p>
      <w:pPr>
        <w:numPr>
          <w:ilvl w:val="0"/>
          <w:numId w:val="1001"/>
        </w:numPr>
        <w:pStyle w:val="Compact"/>
      </w:pPr>
      <w:r>
        <w:t xml:space="preserve">Ersatz für</w:t>
      </w:r>
      <w:r>
        <w:t xml:space="preserve"> </w:t>
      </w:r>
      <w:r>
        <w:rPr>
          <w:rStyle w:val="VerbatimChar"/>
        </w:rPr>
        <w:t xml:space="preserve">TRUNCATE TABLE</w:t>
      </w:r>
    </w:p>
    <w:p>
      <w:pPr>
        <w:numPr>
          <w:ilvl w:val="0"/>
          <w:numId w:val="1001"/>
        </w:numPr>
        <w:pStyle w:val="Compact"/>
      </w:pPr>
      <w:r>
        <w:t xml:space="preserve">typische Fehler</w:t>
      </w:r>
    </w:p>
    <w:p>
      <w:pPr>
        <w:numPr>
          <w:ilvl w:val="0"/>
          <w:numId w:val="1001"/>
        </w:numPr>
        <w:pStyle w:val="Compact"/>
      </w:pPr>
      <w:r>
        <w:t xml:space="preserve">praktische Übungen</w:t>
      </w:r>
    </w:p>
    <w:p>
      <w:r>
        <w:br w:type="page"/>
      </w:r>
    </w:p>
    <w:bookmarkEnd w:id="20"/>
    <w:bookmarkEnd w:id="21"/>
    <w:bookmarkStart w:id="25" w:name="was-ist-sqlite"/>
    <w:p>
      <w:pPr>
        <w:pStyle w:val="Heading1"/>
      </w:pPr>
      <w:r>
        <w:t xml:space="preserve">Was ist SQLite?</w:t>
      </w:r>
    </w:p>
    <w:p>
      <w:pPr>
        <w:pStyle w:val="FirstParagraph"/>
      </w:pPr>
      <w:r>
        <w:t xml:space="preserve">SQLite ist ein relationales Datenbanksystem, das ohne separaten Datenbankserver arbeitet.</w:t>
      </w:r>
    </w:p>
    <w:p>
      <w:pPr>
        <w:pStyle w:val="BodyText"/>
      </w:pPr>
      <w:r>
        <w:t xml:space="preserve">Eine SQLite-Datenbank besteht typischerweise aus einer einzelnen Datei.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schulverwaltung.db</w:t>
      </w:r>
    </w:p>
    <w:bookmarkStart w:id="22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SQLite ist:</w:t>
      </w:r>
    </w:p>
    <w:p>
      <w:pPr>
        <w:numPr>
          <w:ilvl w:val="0"/>
          <w:numId w:val="1002"/>
        </w:numPr>
        <w:pStyle w:val="Compact"/>
      </w:pPr>
      <w:r>
        <w:t xml:space="preserve">leichtgewichtig,</w:t>
      </w:r>
    </w:p>
    <w:p>
      <w:pPr>
        <w:numPr>
          <w:ilvl w:val="0"/>
          <w:numId w:val="1002"/>
        </w:numPr>
        <w:pStyle w:val="Compact"/>
      </w:pPr>
      <w:r>
        <w:t xml:space="preserve">serverlos,</w:t>
      </w:r>
    </w:p>
    <w:p>
      <w:pPr>
        <w:numPr>
          <w:ilvl w:val="0"/>
          <w:numId w:val="1002"/>
        </w:numPr>
        <w:pStyle w:val="Compact"/>
      </w:pPr>
      <w:r>
        <w:t xml:space="preserve">dateibasiert,</w:t>
      </w:r>
    </w:p>
    <w:p>
      <w:pPr>
        <w:numPr>
          <w:ilvl w:val="0"/>
          <w:numId w:val="1002"/>
        </w:numPr>
        <w:pStyle w:val="Compact"/>
      </w:pPr>
      <w:r>
        <w:t xml:space="preserve">weit verbreitet,</w:t>
      </w:r>
    </w:p>
    <w:p>
      <w:pPr>
        <w:numPr>
          <w:ilvl w:val="0"/>
          <w:numId w:val="1002"/>
        </w:numPr>
        <w:pStyle w:val="Compact"/>
      </w:pPr>
      <w:r>
        <w:t xml:space="preserve">gut für lokale Anwendungen und Unterricht geeignet.</w:t>
      </w:r>
    </w:p>
    <w:bookmarkEnd w:id="22"/>
    <w:bookmarkStart w:id="23" w:name="typische-einsatzbereiche"/>
    <w:p>
      <w:pPr>
        <w:pStyle w:val="Heading2"/>
      </w:pPr>
      <w:r>
        <w:t xml:space="preserve">Typische Einsatzbereiche</w:t>
      </w:r>
    </w:p>
    <w:p>
      <w:pPr>
        <w:numPr>
          <w:ilvl w:val="0"/>
          <w:numId w:val="1003"/>
        </w:numPr>
        <w:pStyle w:val="Compact"/>
      </w:pPr>
      <w:r>
        <w:t xml:space="preserve">Desktop-Programme</w:t>
      </w:r>
    </w:p>
    <w:p>
      <w:pPr>
        <w:numPr>
          <w:ilvl w:val="0"/>
          <w:numId w:val="1003"/>
        </w:numPr>
        <w:pStyle w:val="Compact"/>
      </w:pPr>
      <w:r>
        <w:t xml:space="preserve">mobile Apps</w:t>
      </w:r>
    </w:p>
    <w:p>
      <w:pPr>
        <w:numPr>
          <w:ilvl w:val="0"/>
          <w:numId w:val="1003"/>
        </w:numPr>
        <w:pStyle w:val="Compact"/>
      </w:pPr>
      <w:r>
        <w:t xml:space="preserve">lokale Werkzeuge</w:t>
      </w:r>
    </w:p>
    <w:p>
      <w:pPr>
        <w:numPr>
          <w:ilvl w:val="0"/>
          <w:numId w:val="1003"/>
        </w:numPr>
        <w:pStyle w:val="Compact"/>
      </w:pPr>
      <w:r>
        <w:t xml:space="preserve">Prototypen</w:t>
      </w:r>
    </w:p>
    <w:p>
      <w:pPr>
        <w:numPr>
          <w:ilvl w:val="0"/>
          <w:numId w:val="1003"/>
        </w:numPr>
        <w:pStyle w:val="Compact"/>
      </w:pPr>
      <w:r>
        <w:t xml:space="preserve">Tests</w:t>
      </w:r>
    </w:p>
    <w:p>
      <w:pPr>
        <w:numPr>
          <w:ilvl w:val="0"/>
          <w:numId w:val="1003"/>
        </w:numPr>
        <w:pStyle w:val="Compact"/>
      </w:pPr>
      <w:r>
        <w:t xml:space="preserve">Unterricht</w:t>
      </w:r>
    </w:p>
    <w:bookmarkEnd w:id="23"/>
    <w:bookmarkStart w:id="24" w:name="abgrenzung"/>
    <w:p>
      <w:pPr>
        <w:pStyle w:val="Heading2"/>
      </w:pPr>
      <w:r>
        <w:t xml:space="preserve">Abgrenzung</w:t>
      </w:r>
    </w:p>
    <w:p>
      <w:pPr>
        <w:pStyle w:val="FirstParagraph"/>
      </w:pPr>
      <w:r>
        <w:t xml:space="preserve">SQLite ist ein konkretes Datenbanksystem.</w:t>
      </w:r>
    </w:p>
    <w:p>
      <w:pPr>
        <w:pStyle w:val="BodyText"/>
      </w:pPr>
      <w:r>
        <w:t xml:space="preserve">SQL ist die Sprache, mit der relationale Datenbanken beschrieben und abgefragt werden.</w:t>
      </w:r>
    </w:p>
    <w:p>
      <w:pPr>
        <w:pStyle w:val="BlockText"/>
      </w:pPr>
      <w:r>
        <w:t xml:space="preserve">SQL ist der Standard bzw. die Sprache. SQLite ist eine konkrete Implementierung.</w:t>
      </w:r>
    </w:p>
    <w:p>
      <w:r>
        <w:br w:type="page"/>
      </w:r>
    </w:p>
    <w:bookmarkEnd w:id="24"/>
    <w:bookmarkEnd w:id="25"/>
    <w:bookmarkStart w:id="30" w:name="sqlite-installieren"/>
    <w:p>
      <w:pPr>
        <w:pStyle w:val="Heading1"/>
      </w:pPr>
      <w:r>
        <w:t xml:space="preserve">SQLite installieren</w:t>
      </w:r>
    </w:p>
    <w:bookmarkStart w:id="26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SQLite ist auf vielen macOS-Systemen bereits vorhanden.</w:t>
      </w:r>
    </w:p>
    <w:p>
      <w:pPr>
        <w:pStyle w:val="BodyText"/>
      </w:pPr>
      <w:r>
        <w:t xml:space="preserve">Prüfen: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Falls SQLite nicht vorhanden ist oder eine aktuelle Version benötigt wird: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sqlite</w:t>
      </w:r>
    </w:p>
    <w:bookmarkEnd w:id="26"/>
    <w:bookmarkStart w:id="27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Beispiel Debian/Ubuntu: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sqlite3</w:t>
      </w:r>
    </w:p>
    <w:bookmarkEnd w:id="27"/>
    <w:bookmarkStart w:id="28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SQLite kann als Kommandozeilenwerkzeug installiert werden.</w:t>
      </w:r>
    </w:p>
    <w:p>
      <w:pPr>
        <w:pStyle w:val="BodyText"/>
      </w:pPr>
      <w:r>
        <w:t xml:space="preserve">Alternativ kann DB Browser for SQLite verwendet werden.</w:t>
      </w:r>
    </w:p>
    <w:bookmarkEnd w:id="28"/>
    <w:bookmarkStart w:id="29" w:name="prüfung"/>
    <w:p>
      <w:pPr>
        <w:pStyle w:val="Heading2"/>
      </w:pPr>
      <w:r>
        <w:t xml:space="preserve">Prüfung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Wenn eine Versionsnummer erscheint, ist das Werkzeug verfügbar.</w:t>
      </w:r>
    </w:p>
    <w:p>
      <w:r>
        <w:br w:type="page"/>
      </w:r>
    </w:p>
    <w:bookmarkEnd w:id="29"/>
    <w:bookmarkEnd w:id="30"/>
    <w:bookmarkStart w:id="38" w:name="sqlite-cli"/>
    <w:p>
      <w:pPr>
        <w:pStyle w:val="Heading1"/>
      </w:pPr>
      <w:r>
        <w:t xml:space="preserve">SQLite CLI</w:t>
      </w:r>
    </w:p>
    <w:p>
      <w:pPr>
        <w:pStyle w:val="FirstParagraph"/>
      </w:pPr>
      <w:r>
        <w:t xml:space="preserve">Die SQLite-Kommandozeile wird mit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gestartet.</w:t>
      </w:r>
    </w:p>
    <w:bookmarkStart w:id="31" w:name="neue-datenbank-öffnen-oder-anlegen"/>
    <w:p>
      <w:pPr>
        <w:pStyle w:val="Heading2"/>
      </w:pPr>
      <w:r>
        <w:t xml:space="preserve">Neue Datenbank öffnen oder anlegen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schulverwaltung.db</w:t>
      </w:r>
    </w:p>
    <w:p>
      <w:pPr>
        <w:pStyle w:val="FirstParagraph"/>
      </w:pPr>
      <w:r>
        <w:t xml:space="preserve">Existiert die Datei noch nicht, wird sie beim ersten Speichern angelegt.</w:t>
      </w:r>
    </w:p>
    <w:bookmarkEnd w:id="31"/>
    <w:bookmarkStart w:id="32" w:name="hilfe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32"/>
    <w:bookmarkStart w:id="33" w:name="tabellen-anzeigen"/>
    <w:p>
      <w:pPr>
        <w:pStyle w:val="Heading2"/>
      </w:pPr>
      <w:r>
        <w:t xml:space="preserve">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"/>
    <w:bookmarkStart w:id="34" w:name="schema-anzeigen"/>
    <w:p>
      <w:pPr>
        <w:pStyle w:val="Heading2"/>
      </w:pPr>
      <w:r>
        <w:t xml:space="preserve">Schema anzeigen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34"/>
    <w:bookmarkStart w:id="35" w:name="ausgabe-übersichtlicher-darstellen"/>
    <w:p>
      <w:pPr>
        <w:pStyle w:val="Heading2"/>
      </w:pPr>
      <w:r>
        <w:t xml:space="preserve">Ausgabe übersichtlicher darstellen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35"/>
    <w:bookmarkStart w:id="36" w:name="sqlite-verlassen"/>
    <w:p>
      <w:pPr>
        <w:pStyle w:val="Heading2"/>
      </w:pPr>
      <w:r>
        <w:t xml:space="preserve">SQLite verlassen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36"/>
    <w:bookmarkStart w:id="37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Befehle, die mit einem Punkt beginnen, sind Befehle der SQLite-CLI und</w:t>
      </w:r>
      <w:r>
        <w:t xml:space="preserve"> </w:t>
      </w:r>
      <w:r>
        <w:rPr>
          <w:bCs/>
          <w:b/>
        </w:rPr>
        <w:t xml:space="preserve">kein SQL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.tables</w:t>
      </w:r>
    </w:p>
    <w:p>
      <w:pPr>
        <w:pStyle w:val="FirstParagraph"/>
      </w:pPr>
      <w:r>
        <w:t xml:space="preserve">ist SQLite-CLI.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ist SQL.</w:t>
      </w:r>
    </w:p>
    <w:p>
      <w:r>
        <w:br w:type="page"/>
      </w:r>
    </w:p>
    <w:bookmarkEnd w:id="37"/>
    <w:bookmarkEnd w:id="38"/>
    <w:bookmarkStart w:id="42" w:name="datenbank-anlegen"/>
    <w:p>
      <w:pPr>
        <w:pStyle w:val="Heading1"/>
      </w:pPr>
      <w:r>
        <w:t xml:space="preserve">Datenbank anlegen</w:t>
      </w:r>
    </w:p>
    <w:bookmarkStart w:id="39" w:name="cli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p>
      <w:pPr>
        <w:pStyle w:val="FirstParagraph"/>
      </w:pPr>
      <w:r>
        <w:t xml:space="preserve">Danach kann direkt SQL eingegeben werden.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SQLite schreibt Änderungen grundsätzlich in die Datenbankdatei.</w:t>
      </w:r>
    </w:p>
    <w:p>
      <w:pPr>
        <w:pStyle w:val="BodyText"/>
      </w:pPr>
      <w:r>
        <w:t xml:space="preserve">Die Datei kann danach mit anderen SQLite-Werkzeugen geöffnet werden.</w:t>
      </w:r>
    </w:p>
    <w:bookmarkEnd w:id="40"/>
    <w:bookmarkStart w:id="41" w:name="dateiendungen"/>
    <w:p>
      <w:pPr>
        <w:pStyle w:val="Heading2"/>
      </w:pPr>
      <w:r>
        <w:t xml:space="preserve">Dateiendungen</w:t>
      </w:r>
    </w:p>
    <w:p>
      <w:pPr>
        <w:pStyle w:val="FirstParagraph"/>
      </w:pPr>
      <w:r>
        <w:t xml:space="preserve">Übliche Endungen sind:</w:t>
      </w:r>
    </w:p>
    <w:p>
      <w:pPr>
        <w:pStyle w:val="SourceCode"/>
      </w:pPr>
      <w:r>
        <w:rPr>
          <w:rStyle w:val="VerbatimChar"/>
        </w:rPr>
        <w:t xml:space="preserve">.db</w:t>
      </w:r>
      <w:r>
        <w:br/>
      </w:r>
      <w:r>
        <w:rPr>
          <w:rStyle w:val="VerbatimChar"/>
        </w:rPr>
        <w:t xml:space="preserve">.sqlite</w:t>
      </w:r>
      <w:r>
        <w:br/>
      </w:r>
      <w:r>
        <w:rPr>
          <w:rStyle w:val="VerbatimChar"/>
        </w:rPr>
        <w:t xml:space="preserve">.sqlite3</w:t>
      </w:r>
    </w:p>
    <w:p>
      <w:pPr>
        <w:pStyle w:val="FirstParagraph"/>
      </w:pPr>
      <w:r>
        <w:t xml:space="preserve">Die Endung ändert nicht das Datenbankformat.</w:t>
      </w:r>
    </w:p>
    <w:p>
      <w:r>
        <w:br w:type="page"/>
      </w:r>
    </w:p>
    <w:bookmarkEnd w:id="41"/>
    <w:bookmarkEnd w:id="42"/>
    <w:bookmarkStart w:id="49" w:name="db-browser-for-sqlite"/>
    <w:p>
      <w:pPr>
        <w:pStyle w:val="Heading1"/>
      </w:pPr>
      <w:r>
        <w:t xml:space="preserve">DB Browser for SQLite</w:t>
      </w:r>
    </w:p>
    <w:p>
      <w:pPr>
        <w:pStyle w:val="FirstParagraph"/>
      </w:pPr>
      <w:r>
        <w:t xml:space="preserve">DB Browser for SQLite ist eine grafische Oberfläche zur Arbeit mit SQLite-Datenbanken.</w:t>
      </w:r>
    </w:p>
    <w:bookmarkStart w:id="43" w:name="typischer-ablauf"/>
    <w:p>
      <w:pPr>
        <w:pStyle w:val="Heading2"/>
      </w:pPr>
      <w:r>
        <w:t xml:space="preserve">Typischer Ablauf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Neue Datenbank</w:t>
      </w:r>
      <w:r>
        <w:t xml:space="preserve"> </w:t>
      </w:r>
      <w:r>
        <w:t xml:space="preserve">wählen.</w:t>
      </w:r>
    </w:p>
    <w:p>
      <w:pPr>
        <w:numPr>
          <w:ilvl w:val="0"/>
          <w:numId w:val="1004"/>
        </w:numPr>
        <w:pStyle w:val="Compact"/>
      </w:pPr>
      <w:r>
        <w:t xml:space="preserve">Speicherort und Dateinamen festlegen.</w:t>
      </w:r>
    </w:p>
    <w:p>
      <w:pPr>
        <w:numPr>
          <w:ilvl w:val="0"/>
          <w:numId w:val="1004"/>
        </w:numPr>
        <w:pStyle w:val="Compact"/>
      </w:pPr>
      <w:r>
        <w:t xml:space="preserve">Tabellen anlegen oder SQL ausführen.</w:t>
      </w:r>
    </w:p>
    <w:p>
      <w:pPr>
        <w:numPr>
          <w:ilvl w:val="0"/>
          <w:numId w:val="1004"/>
        </w:numPr>
        <w:pStyle w:val="Compact"/>
      </w:pPr>
      <w:r>
        <w:t xml:space="preserve">Daten kontrollieren.</w:t>
      </w:r>
    </w:p>
    <w:p>
      <w:pPr>
        <w:numPr>
          <w:ilvl w:val="0"/>
          <w:numId w:val="1004"/>
        </w:numPr>
        <w:pStyle w:val="Compact"/>
      </w:pPr>
      <w:r>
        <w:t xml:space="preserve">Änderungen speichern.</w:t>
      </w:r>
    </w:p>
    <w:bookmarkEnd w:id="43"/>
    <w:bookmarkStart w:id="47" w:name="wichtige-bereiche"/>
    <w:p>
      <w:pPr>
        <w:pStyle w:val="Heading2"/>
      </w:pPr>
      <w:r>
        <w:t xml:space="preserve">Wichtige Bereiche</w:t>
      </w:r>
    </w:p>
    <w:bookmarkStart w:id="44" w:name="datenbankstruktur"/>
    <w:p>
      <w:pPr>
        <w:pStyle w:val="Heading3"/>
      </w:pPr>
      <w:r>
        <w:t xml:space="preserve">Datenbankstruktur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05"/>
        </w:numPr>
        <w:pStyle w:val="Compact"/>
      </w:pPr>
      <w:r>
        <w:t xml:space="preserve">Tabellen</w:t>
      </w:r>
    </w:p>
    <w:p>
      <w:pPr>
        <w:numPr>
          <w:ilvl w:val="0"/>
          <w:numId w:val="1005"/>
        </w:numPr>
        <w:pStyle w:val="Compact"/>
      </w:pPr>
      <w:r>
        <w:t xml:space="preserve">Spalten</w:t>
      </w:r>
    </w:p>
    <w:p>
      <w:pPr>
        <w:numPr>
          <w:ilvl w:val="0"/>
          <w:numId w:val="1005"/>
        </w:numPr>
        <w:pStyle w:val="Compact"/>
      </w:pPr>
      <w:r>
        <w:t xml:space="preserve">Indizes</w:t>
      </w:r>
    </w:p>
    <w:p>
      <w:pPr>
        <w:numPr>
          <w:ilvl w:val="0"/>
          <w:numId w:val="1005"/>
        </w:numPr>
        <w:pStyle w:val="Compact"/>
      </w:pPr>
      <w:r>
        <w:t xml:space="preserve">Trigger</w:t>
      </w:r>
    </w:p>
    <w:p>
      <w:pPr>
        <w:numPr>
          <w:ilvl w:val="0"/>
          <w:numId w:val="1005"/>
        </w:numPr>
        <w:pStyle w:val="Compact"/>
      </w:pPr>
      <w:r>
        <w:t xml:space="preserve">Views</w:t>
      </w:r>
    </w:p>
    <w:bookmarkEnd w:id="44"/>
    <w:bookmarkStart w:id="45" w:name="daten-durchsuchen"/>
    <w:p>
      <w:pPr>
        <w:pStyle w:val="Heading3"/>
      </w:pPr>
      <w:r>
        <w:t xml:space="preserve">Daten durchsuchen</w:t>
      </w:r>
    </w:p>
    <w:p>
      <w:pPr>
        <w:pStyle w:val="FirstParagraph"/>
      </w:pPr>
      <w:r>
        <w:t xml:space="preserve">Zeigt Datensätze tabellarisch.</w:t>
      </w:r>
    </w:p>
    <w:bookmarkEnd w:id="45"/>
    <w:bookmarkStart w:id="46" w:name="sql-ausführen"/>
    <w:p>
      <w:pPr>
        <w:pStyle w:val="Heading3"/>
      </w:pPr>
      <w:r>
        <w:t xml:space="preserve">SQL ausführen</w:t>
      </w:r>
    </w:p>
    <w:p>
      <w:pPr>
        <w:pStyle w:val="FirstParagraph"/>
      </w:pPr>
      <w:r>
        <w:t xml:space="preserve">Hier können SQL-Anweisungen geschrieben und ausgeführt werden.</w:t>
      </w:r>
    </w:p>
    <w:bookmarkEnd w:id="46"/>
    <w:bookmarkEnd w:id="47"/>
    <w:bookmarkStart w:id="48" w:name="unterrichtshinweis"/>
    <w:p>
      <w:pPr>
        <w:pStyle w:val="Heading2"/>
      </w:pPr>
      <w:r>
        <w:t xml:space="preserve">Unterrichtshinweis</w:t>
      </w:r>
    </w:p>
    <w:p>
      <w:pPr>
        <w:pStyle w:val="FirstParagraph"/>
      </w:pPr>
      <w:r>
        <w:t xml:space="preserve">Für den Einstieg ist der SQL-Editor besonders wichtig.</w:t>
      </w:r>
    </w:p>
    <w:p>
      <w:pPr>
        <w:pStyle w:val="BodyText"/>
      </w:pPr>
      <w:r>
        <w:t xml:space="preserve">Die Schülerinnen und Schüler sollen SQL-Befehle bewusst ausführen und nicht ausschließlich Tabellen über grafische Dialoge erzeugen.</w:t>
      </w:r>
    </w:p>
    <w:p>
      <w:r>
        <w:br w:type="page"/>
      </w:r>
    </w:p>
    <w:bookmarkEnd w:id="48"/>
    <w:bookmarkEnd w:id="49"/>
    <w:bookmarkStart w:id="53" w:name="sql-dateien-ausführen"/>
    <w:p>
      <w:pPr>
        <w:pStyle w:val="Heading1"/>
      </w:pPr>
      <w:r>
        <w:t xml:space="preserve">SQL-Dateien ausführen</w:t>
      </w:r>
    </w:p>
    <w:p>
      <w:pPr>
        <w:pStyle w:val="FirstParagraph"/>
      </w:pPr>
      <w:r>
        <w:t xml:space="preserve">SQL-Befehle können in Dateien gespeichert werden.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schema.sql</w:t>
      </w:r>
    </w:p>
    <w:bookmarkStart w:id="50" w:name="cli-1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Oder innerhalb der SQLite-CLI:</w:t>
      </w:r>
    </w:p>
    <w:p>
      <w:pPr>
        <w:pStyle w:val="SourceCode"/>
      </w:pPr>
      <w:r>
        <w:rPr>
          <w:rStyle w:val="VerbatimChar"/>
        </w:rPr>
        <w:t xml:space="preserve">.read schema.sql</w:t>
      </w:r>
    </w:p>
    <w:bookmarkEnd w:id="50"/>
    <w:bookmarkStart w:id="51" w:name="vorteil"/>
    <w:p>
      <w:pPr>
        <w:pStyle w:val="Heading2"/>
      </w:pPr>
      <w:r>
        <w:t xml:space="preserve">Vorteil</w:t>
      </w:r>
    </w:p>
    <w:p>
      <w:pPr>
        <w:pStyle w:val="FirstParagraph"/>
      </w:pPr>
      <w:r>
        <w:t xml:space="preserve">Damit können Datenbanken reproduzierbar aufgebaut werden.</w:t>
      </w:r>
    </w:p>
    <w:p>
      <w:pPr>
        <w:pStyle w:val="BodyText"/>
      </w:pPr>
      <w:r>
        <w:t xml:space="preserve">Ein SQL-Skript kann enthalten: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TABLE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INDEX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INSERT</w:t>
      </w:r>
    </w:p>
    <w:p>
      <w:pPr>
        <w:numPr>
          <w:ilvl w:val="0"/>
          <w:numId w:val="1006"/>
        </w:numPr>
        <w:pStyle w:val="Compact"/>
      </w:pPr>
      <w:r>
        <w:t xml:space="preserve">Beispieldaten</w:t>
      </w:r>
    </w:p>
    <w:bookmarkEnd w:id="51"/>
    <w:bookmarkStart w:id="52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Datenbankschema und Beispieldaten nach Möglichkeit als SQL-Dateien versionieren.</w:t>
      </w:r>
    </w:p>
    <w:p>
      <w:r>
        <w:br w:type="page"/>
      </w:r>
    </w:p>
    <w:bookmarkEnd w:id="52"/>
    <w:bookmarkEnd w:id="53"/>
    <w:bookmarkStart w:id="58" w:name="fremdschlüssel-in-sqlite"/>
    <w:p>
      <w:pPr>
        <w:pStyle w:val="Heading1"/>
      </w:pPr>
      <w:r>
        <w:t xml:space="preserve">Fremdschlüssel in SQLite</w:t>
      </w:r>
    </w:p>
    <w:p>
      <w:pPr>
        <w:pStyle w:val="FirstParagraph"/>
      </w:pPr>
      <w:r>
        <w:t xml:space="preserve">SQLite unterstützt Fremdschlüssel.</w:t>
      </w:r>
    </w:p>
    <w:p>
      <w:pPr>
        <w:pStyle w:val="BodyText"/>
      </w:pPr>
      <w:r>
        <w:t xml:space="preserve">Sie müssen jedoch in vielen Nutzungssituationen explizit aktiviert werden.</w:t>
      </w:r>
    </w:p>
    <w:bookmarkStart w:id="54" w:name="aktivieren"/>
    <w:p>
      <w:pPr>
        <w:pStyle w:val="Heading2"/>
      </w:pPr>
      <w:r>
        <w:t xml:space="preserve">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54"/>
    <w:bookmarkStart w:id="55" w:name="status-prüfen"/>
    <w:p>
      <w:pPr>
        <w:pStyle w:val="Heading2"/>
      </w:pPr>
      <w:r>
        <w:t xml:space="preserve">Status prüfen</w:t>
      </w:r>
    </w:p>
    <w:p>
      <w:pPr>
        <w:pStyle w:val="SourceCode"/>
      </w:pPr>
      <w:r>
        <w:rPr>
          <w:rStyle w:val="NormalTok"/>
        </w:rPr>
        <w:t xml:space="preserve">PRAGMA foreign_keys;</w:t>
      </w:r>
    </w:p>
    <w:p>
      <w:pPr>
        <w:pStyle w:val="FirstParagraph"/>
      </w:pPr>
      <w:r>
        <w:t xml:space="preserve">Ergebnis: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bedeutet aktiviert.</w:t>
      </w:r>
    </w:p>
    <w:bookmarkEnd w:id="55"/>
    <w:bookmarkStart w:id="5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56"/>
    <w:bookmarkStart w:id="57" w:name="wichtig"/>
    <w:p>
      <w:pPr>
        <w:pStyle w:val="Heading2"/>
      </w:pPr>
      <w:r>
        <w:t xml:space="preserve">Wichtig</w:t>
      </w:r>
    </w:p>
    <w:p>
      <w:pPr>
        <w:pStyle w:val="BlockText"/>
      </w:pPr>
      <w:r>
        <w:t xml:space="preserve">Ein definierter Fremdschlüssel schützt nur dann zuverlässig, wenn die Fremdschlüsselprüfung aktiviert ist.</w:t>
      </w:r>
    </w:p>
    <w:p>
      <w:r>
        <w:br w:type="page"/>
      </w:r>
    </w:p>
    <w:bookmarkEnd w:id="57"/>
    <w:bookmarkEnd w:id="58"/>
    <w:bookmarkStart w:id="62" w:name="datentypen-und-type-affinity"/>
    <w:p>
      <w:pPr>
        <w:pStyle w:val="Heading1"/>
      </w:pPr>
      <w:r>
        <w:t xml:space="preserve">Datentypen und Type Affinity</w:t>
      </w:r>
    </w:p>
    <w:p>
      <w:pPr>
        <w:pStyle w:val="FirstParagraph"/>
      </w:pPr>
      <w:r>
        <w:t xml:space="preserve">SQLite behandelt Datentypen flexibler als viele andere relationale Datenbanksysteme.</w:t>
      </w:r>
    </w:p>
    <w:p>
      <w:pPr>
        <w:pStyle w:val="BodyText"/>
      </w:pPr>
      <w:r>
        <w:t xml:space="preserve">SQLite verwendet sogenannte</w:t>
      </w:r>
      <w:r>
        <w:t xml:space="preserve"> </w:t>
      </w:r>
      <w:r>
        <w:rPr>
          <w:bCs/>
          <w:b/>
        </w:rPr>
        <w:t xml:space="preserve">Type Affinities</w:t>
      </w:r>
      <w:r>
        <w:t xml:space="preserve">.</w:t>
      </w:r>
    </w:p>
    <w:p>
      <w:pPr>
        <w:pStyle w:val="BodyText"/>
      </w:pPr>
      <w:r>
        <w:t xml:space="preserve">Wichtige Gruppen sind:</w:t>
      </w:r>
    </w:p>
    <w:p>
      <w:pPr>
        <w:numPr>
          <w:ilvl w:val="0"/>
          <w:numId w:val="1007"/>
        </w:numPr>
        <w:pStyle w:val="Compact"/>
      </w:pPr>
      <w:r>
        <w:t xml:space="preserve">INTEGER</w:t>
      </w:r>
    </w:p>
    <w:p>
      <w:pPr>
        <w:numPr>
          <w:ilvl w:val="0"/>
          <w:numId w:val="1007"/>
        </w:numPr>
        <w:pStyle w:val="Compact"/>
      </w:pPr>
      <w:r>
        <w:t xml:space="preserve">REAL</w:t>
      </w:r>
    </w:p>
    <w:p>
      <w:pPr>
        <w:numPr>
          <w:ilvl w:val="0"/>
          <w:numId w:val="1007"/>
        </w:numPr>
        <w:pStyle w:val="Compact"/>
      </w:pPr>
      <w:r>
        <w:t xml:space="preserve">TEXT</w:t>
      </w:r>
    </w:p>
    <w:p>
      <w:pPr>
        <w:numPr>
          <w:ilvl w:val="0"/>
          <w:numId w:val="1007"/>
        </w:numPr>
        <w:pStyle w:val="Compact"/>
      </w:pPr>
      <w:r>
        <w:t xml:space="preserve">BLOB</w:t>
      </w:r>
    </w:p>
    <w:p>
      <w:pPr>
        <w:numPr>
          <w:ilvl w:val="0"/>
          <w:numId w:val="1007"/>
        </w:numPr>
        <w:pStyle w:val="Compact"/>
      </w:pPr>
      <w:r>
        <w:t xml:space="preserve">NUMERIC</w:t>
      </w:r>
    </w:p>
    <w:bookmarkStart w:id="59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Messwert (</w:t>
      </w:r>
      <w:r>
        <w:br/>
      </w:r>
      <w:r>
        <w:rPr>
          <w:rStyle w:val="NormalTok"/>
        </w:rPr>
        <w:t xml:space="preserve">    MesswertID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Wert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Einheit TEXT</w:t>
      </w:r>
      <w:r>
        <w:br/>
      </w:r>
      <w:r>
        <w:rPr>
          <w:rStyle w:val="NormalTok"/>
        </w:rPr>
        <w:t xml:space="preserve">);</w:t>
      </w:r>
    </w:p>
    <w:bookmarkEnd w:id="59"/>
    <w:bookmarkStart w:id="6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SQLite erzwingt Datentypen in klassischen Tabellen weniger streng als viele andere Datenbanksysteme.</w:t>
      </w:r>
    </w:p>
    <w:p>
      <w:pPr>
        <w:pStyle w:val="BodyText"/>
      </w:pPr>
      <w:r>
        <w:t xml:space="preserve">Für Unterricht und Datenqualität gilt trotzdem:</w:t>
      </w:r>
    </w:p>
    <w:p>
      <w:pPr>
        <w:pStyle w:val="BlockText"/>
      </w:pPr>
      <w:r>
        <w:t xml:space="preserve">Spalten sollten fachlich passende Datentypen erhalten.</w:t>
      </w:r>
    </w:p>
    <w:bookmarkEnd w:id="60"/>
    <w:bookmarkStart w:id="61" w:name="strict-tables"/>
    <w:p>
      <w:pPr>
        <w:pStyle w:val="Heading2"/>
      </w:pPr>
      <w:r>
        <w:t xml:space="preserve">STRICT Tables</w:t>
      </w:r>
    </w:p>
    <w:p>
      <w:pPr>
        <w:pStyle w:val="FirstParagraph"/>
      </w:pPr>
      <w:r>
        <w:t xml:space="preserve">Neuere SQLite-Versionen unterstützen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-Tabellen.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Beispiel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STRICT;</w:t>
      </w:r>
    </w:p>
    <w:p>
      <w:pPr>
        <w:pStyle w:val="FirstParagraph"/>
      </w:pPr>
      <w:r>
        <w:t xml:space="preserve">Damit werden Datentypen strenger kontrolliert.</w:t>
      </w:r>
    </w:p>
    <w:p>
      <w:r>
        <w:br w:type="page"/>
      </w:r>
    </w:p>
    <w:bookmarkEnd w:id="61"/>
    <w:bookmarkEnd w:id="62"/>
    <w:bookmarkStart w:id="65" w:name="integer-primary-key"/>
    <w:p>
      <w:pPr>
        <w:pStyle w:val="Heading1"/>
      </w:pPr>
      <w:r>
        <w:t xml:space="preserve">INTEGER PRIMARY KEY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besitzt in SQLite eine besondere Bedeutung.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Spalte wird dabei mit der internen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verbunden.</w:t>
      </w:r>
    </w:p>
    <w:bookmarkStart w:id="63" w:name="automatische-id"/>
    <w:p>
      <w:pPr>
        <w:pStyle w:val="Heading2"/>
      </w:pPr>
      <w:r>
        <w:t xml:space="preserve">Automatische ID</w:t>
      </w:r>
    </w:p>
    <w:p>
      <w:pPr>
        <w:pStyle w:val="FirstParagraph"/>
      </w:pPr>
      <w:r>
        <w:t xml:space="preserve">Wird keine ID angegeben, kann SQLite eine passende Ganzzahl erzeugen.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bookmarkEnd w:id="63"/>
    <w:bookmarkStart w:id="64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einfache lokale Datenbanken ist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meist ausreichend.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ist nicht automatisch notwendig.</w:t>
      </w:r>
    </w:p>
    <w:p>
      <w:r>
        <w:br w:type="page"/>
      </w:r>
    </w:p>
    <w:bookmarkEnd w:id="64"/>
    <w:bookmarkEnd w:id="65"/>
    <w:bookmarkStart w:id="69" w:name="autoincrement"/>
    <w:p>
      <w:pPr>
        <w:pStyle w:val="Heading1"/>
      </w:pPr>
      <w:r>
        <w:t xml:space="preserve">AUTOINCREMENT</w:t>
      </w:r>
    </w:p>
    <w:p>
      <w:pPr>
        <w:pStyle w:val="FirstParagraph"/>
      </w:pPr>
      <w:r>
        <w:t xml:space="preserve">SQLite unterstützt: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6" w:name="unterschied"/>
    <w:p>
      <w:pPr>
        <w:pStyle w:val="Heading2"/>
      </w:pPr>
      <w:r>
        <w:t xml:space="preserve">Unterschied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kann bereits automatisch neue IDs erzeugen.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verändert die Regel, nach der neue IDs vergeben werden, und verhindert insbesondere die Wiederverwendung bestimmter bereits vergebener Werte.</w:t>
      </w:r>
    </w:p>
    <w:bookmarkEnd w:id="66"/>
    <w:bookmarkStart w:id="67" w:name="konsequenz"/>
    <w:p>
      <w:pPr>
        <w:pStyle w:val="Heading2"/>
      </w:pPr>
      <w:r>
        <w:t xml:space="preserve">Konsequenz</w:t>
      </w:r>
    </w:p>
    <w:p>
      <w:pPr>
        <w:pStyle w:val="FirstParagraph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verursacht zusätzlichen Verwaltungsaufwand.</w:t>
      </w:r>
    </w:p>
    <w:bookmarkEnd w:id="67"/>
    <w:bookmarkStart w:id="68" w:name="empfehlung-2"/>
    <w:p>
      <w:pPr>
        <w:pStyle w:val="Heading2"/>
      </w:pPr>
      <w:r>
        <w:t xml:space="preserve">Empfehlung</w:t>
      </w:r>
    </w:p>
    <w:p>
      <w:pPr>
        <w:pStyle w:val="Block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nur verwenden, wenn die strengere ID-Vergabe tatsächlich benötigt wird.</w:t>
      </w:r>
    </w:p>
    <w:p>
      <w:r>
        <w:br w:type="page"/>
      </w:r>
    </w:p>
    <w:bookmarkEnd w:id="68"/>
    <w:bookmarkEnd w:id="69"/>
    <w:bookmarkStart w:id="72" w:name="truncate-table-in-sqlite"/>
    <w:p>
      <w:pPr>
        <w:pStyle w:val="Heading1"/>
      </w:pPr>
      <w:r>
        <w:t xml:space="preserve">TRUNCATE TABLE in SQLite</w:t>
      </w:r>
    </w:p>
    <w:p>
      <w:pPr>
        <w:pStyle w:val="FirstParagraph"/>
      </w:pPr>
      <w:r>
        <w:t xml:space="preserve">SQLite unterstützt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nicht.</w:t>
      </w:r>
    </w:p>
    <w:p>
      <w:pPr>
        <w:pStyle w:val="BodyText"/>
      </w:pPr>
      <w:r>
        <w:t xml:space="preserve">Folgendes ist deshalb ungültig: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70" w:name="sqlite-variante"/>
    <w:p>
      <w:pPr>
        <w:pStyle w:val="Heading2"/>
      </w:pPr>
      <w:r>
        <w:t xml:space="preserve">SQLite-Variante</w:t>
      </w:r>
    </w:p>
    <w:p>
      <w:pPr>
        <w:pStyle w:val="FirstParagraph"/>
      </w:pPr>
      <w:r>
        <w:t xml:space="preserve">Alle Datensätze 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Die Tabelle bleibt bestehen.</w:t>
      </w:r>
    </w:p>
    <w:bookmarkEnd w:id="70"/>
    <w:bookmarkStart w:id="71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rPr>
          <w:rStyle w:val="VerbatimChar"/>
        </w:rPr>
        <w:t xml:space="preserve">DELETE 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sind konzeptionell nicht identisch.</w:t>
      </w:r>
    </w:p>
    <w:p>
      <w:pPr>
        <w:pStyle w:val="BodyText"/>
      </w:pPr>
      <w:r>
        <w:t xml:space="preserve">Das SQL-Grundlagenkapitel behandelt die allgemeine Bedeutung von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.</w:t>
      </w:r>
    </w:p>
    <w:p>
      <w:pPr>
        <w:pStyle w:val="BodyText"/>
      </w:pPr>
      <w:r>
        <w:t xml:space="preserve">Dieses Kapitel beschreibt nur die SQLite-spezifische Umsetzung.</w:t>
      </w:r>
    </w:p>
    <w:p>
      <w:r>
        <w:br w:type="page"/>
      </w:r>
    </w:p>
    <w:bookmarkEnd w:id="71"/>
    <w:bookmarkEnd w:id="72"/>
    <w:bookmarkStart w:id="77" w:name="alter-table-besonderheiten"/>
    <w:p>
      <w:pPr>
        <w:pStyle w:val="Heading1"/>
      </w:pPr>
      <w:r>
        <w:t xml:space="preserve">ALTER TABLE – Besonderheiten</w:t>
      </w:r>
    </w:p>
    <w:p>
      <w:pPr>
        <w:pStyle w:val="FirstParagraph"/>
      </w:pPr>
      <w:r>
        <w:t xml:space="preserve">SQLite unterstützt wichtige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-Operationen.</w:t>
      </w:r>
    </w:p>
    <w:p>
      <w:pPr>
        <w:pStyle w:val="BodyText"/>
      </w:pPr>
      <w:r>
        <w:t xml:space="preserve">Beispiele:</w:t>
      </w:r>
    </w:p>
    <w:bookmarkStart w:id="73" w:name="tabelle-umbenennen"/>
    <w:p>
      <w:pPr>
        <w:pStyle w:val="Heading2"/>
      </w:pPr>
      <w:r>
        <w:t xml:space="preserve">Tabelle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Lernende;</w:t>
      </w:r>
    </w:p>
    <w:bookmarkEnd w:id="73"/>
    <w:bookmarkStart w:id="74" w:name="spalte-umbenennen"/>
    <w:p>
      <w:pPr>
        <w:pStyle w:val="Heading2"/>
      </w:pPr>
      <w:r>
        <w:t xml:space="preserve">Spalte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Nachname;</w:t>
      </w:r>
    </w:p>
    <w:bookmarkEnd w:id="74"/>
    <w:bookmarkStart w:id="75" w:name="spalte-hinzufügen"/>
    <w:p>
      <w:pPr>
        <w:pStyle w:val="Heading2"/>
      </w:pPr>
      <w:r>
        <w:t xml:space="preserve">Spalte hinzufügen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Email TEXT;</w:t>
      </w:r>
    </w:p>
    <w:bookmarkEnd w:id="75"/>
    <w:bookmarkStart w:id="76" w:name="einschränkung"/>
    <w:p>
      <w:pPr>
        <w:pStyle w:val="Heading2"/>
      </w:pPr>
      <w:r>
        <w:t xml:space="preserve">Einschränkung</w:t>
      </w:r>
    </w:p>
    <w:p>
      <w:pPr>
        <w:pStyle w:val="FirstParagraph"/>
      </w:pPr>
      <w:r>
        <w:t xml:space="preserve">Komplexe Schemaänderungen können je nach SQLite-Version und gewünschter Änderung eine neue Tabelle erfordern.</w:t>
      </w:r>
    </w:p>
    <w:p>
      <w:pPr>
        <w:pStyle w:val="BodyText"/>
      </w:pPr>
      <w:r>
        <w:t xml:space="preserve">Typischer Ablauf:</w:t>
      </w:r>
    </w:p>
    <w:p>
      <w:pPr>
        <w:numPr>
          <w:ilvl w:val="0"/>
          <w:numId w:val="1008"/>
        </w:numPr>
        <w:pStyle w:val="Compact"/>
      </w:pPr>
      <w:r>
        <w:t xml:space="preserve">neue Tabelle anlegen,</w:t>
      </w:r>
    </w:p>
    <w:p>
      <w:pPr>
        <w:numPr>
          <w:ilvl w:val="0"/>
          <w:numId w:val="1008"/>
        </w:numPr>
        <w:pStyle w:val="Compact"/>
      </w:pPr>
      <w:r>
        <w:t xml:space="preserve">Daten übertragen,</w:t>
      </w:r>
    </w:p>
    <w:p>
      <w:pPr>
        <w:numPr>
          <w:ilvl w:val="0"/>
          <w:numId w:val="1008"/>
        </w:numPr>
        <w:pStyle w:val="Compact"/>
      </w:pPr>
      <w:r>
        <w:t xml:space="preserve">alte Tabelle löschen,</w:t>
      </w:r>
    </w:p>
    <w:p>
      <w:pPr>
        <w:numPr>
          <w:ilvl w:val="0"/>
          <w:numId w:val="1008"/>
        </w:numPr>
        <w:pStyle w:val="Compact"/>
      </w:pPr>
      <w:r>
        <w:t xml:space="preserve">neue Tabelle umbenennen.</w:t>
      </w:r>
    </w:p>
    <w:p>
      <w:pPr>
        <w:pStyle w:val="FirstParagraph"/>
      </w:pPr>
      <w:r>
        <w:t xml:space="preserve">Vor solchen Änderungen immer ein Backup erstellen.</w:t>
      </w:r>
    </w:p>
    <w:p>
      <w:r>
        <w:br w:type="page"/>
      </w:r>
    </w:p>
    <w:bookmarkEnd w:id="76"/>
    <w:bookmarkEnd w:id="77"/>
    <w:bookmarkStart w:id="81" w:name="csv-importieren"/>
    <w:p>
      <w:pPr>
        <w:pStyle w:val="Heading1"/>
      </w:pPr>
      <w:r>
        <w:t xml:space="preserve">CSV importieren</w:t>
      </w:r>
    </w:p>
    <w:bookmarkStart w:id="78" w:name="db-browser-for-sqlite-1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Typischer Ablauf:</w:t>
      </w:r>
    </w:p>
    <w:p>
      <w:pPr>
        <w:numPr>
          <w:ilvl w:val="0"/>
          <w:numId w:val="1009"/>
        </w:numPr>
        <w:pStyle w:val="Compact"/>
      </w:pPr>
      <w:r>
        <w:t xml:space="preserve">Datenbank öffnen.</w:t>
      </w:r>
    </w:p>
    <w:p>
      <w:pPr>
        <w:numPr>
          <w:ilvl w:val="0"/>
          <w:numId w:val="1009"/>
        </w:numPr>
        <w:pStyle w:val="Compact"/>
      </w:pPr>
      <w:r>
        <w:t xml:space="preserve">Importfunktion wählen.</w:t>
      </w:r>
    </w:p>
    <w:p>
      <w:pPr>
        <w:numPr>
          <w:ilvl w:val="0"/>
          <w:numId w:val="1009"/>
        </w:numPr>
        <w:pStyle w:val="Compact"/>
      </w:pPr>
      <w:r>
        <w:t xml:space="preserve">CSV-Datei auswählen.</w:t>
      </w:r>
    </w:p>
    <w:p>
      <w:pPr>
        <w:numPr>
          <w:ilvl w:val="0"/>
          <w:numId w:val="1009"/>
        </w:numPr>
        <w:pStyle w:val="Compact"/>
      </w:pPr>
      <w:r>
        <w:t xml:space="preserve">Trennzeichen prüfen.</w:t>
      </w:r>
    </w:p>
    <w:p>
      <w:pPr>
        <w:numPr>
          <w:ilvl w:val="0"/>
          <w:numId w:val="1009"/>
        </w:numPr>
        <w:pStyle w:val="Compact"/>
      </w:pPr>
      <w:r>
        <w:t xml:space="preserve">Spaltennamen prüfen.</w:t>
      </w:r>
    </w:p>
    <w:p>
      <w:pPr>
        <w:numPr>
          <w:ilvl w:val="0"/>
          <w:numId w:val="1009"/>
        </w:numPr>
        <w:pStyle w:val="Compact"/>
      </w:pPr>
      <w:r>
        <w:t xml:space="preserve">Datentypen prüfen.</w:t>
      </w:r>
    </w:p>
    <w:p>
      <w:pPr>
        <w:numPr>
          <w:ilvl w:val="0"/>
          <w:numId w:val="1009"/>
        </w:numPr>
        <w:pStyle w:val="Compact"/>
      </w:pPr>
      <w:r>
        <w:t xml:space="preserve">Import durchführen.</w:t>
      </w:r>
    </w:p>
    <w:p>
      <w:pPr>
        <w:numPr>
          <w:ilvl w:val="0"/>
          <w:numId w:val="1009"/>
        </w:numPr>
        <w:pStyle w:val="Compact"/>
      </w:pPr>
      <w:r>
        <w:t xml:space="preserve">Ergebnis kontrollieren.</w:t>
      </w:r>
    </w:p>
    <w:bookmarkEnd w:id="78"/>
    <w:bookmarkStart w:id="79" w:name="sqlite-cli-1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Schueler</w:t>
      </w:r>
    </w:p>
    <w:bookmarkEnd w:id="79"/>
    <w:bookmarkStart w:id="80" w:name="wichtig-2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Vor dem Import prüfen:</w:t>
      </w:r>
    </w:p>
    <w:p>
      <w:pPr>
        <w:numPr>
          <w:ilvl w:val="0"/>
          <w:numId w:val="1010"/>
        </w:numPr>
        <w:pStyle w:val="Compact"/>
      </w:pPr>
      <w:r>
        <w:t xml:space="preserve">Zeichencodierung</w:t>
      </w:r>
    </w:p>
    <w:p>
      <w:pPr>
        <w:numPr>
          <w:ilvl w:val="0"/>
          <w:numId w:val="1010"/>
        </w:numPr>
        <w:pStyle w:val="Compact"/>
      </w:pPr>
      <w:r>
        <w:t xml:space="preserve">Trennzeichen</w:t>
      </w:r>
    </w:p>
    <w:p>
      <w:pPr>
        <w:numPr>
          <w:ilvl w:val="0"/>
          <w:numId w:val="1010"/>
        </w:numPr>
        <w:pStyle w:val="Compact"/>
      </w:pPr>
      <w:r>
        <w:t xml:space="preserve">Kopfzeile</w:t>
      </w:r>
    </w:p>
    <w:p>
      <w:pPr>
        <w:numPr>
          <w:ilvl w:val="0"/>
          <w:numId w:val="1010"/>
        </w:numPr>
        <w:pStyle w:val="Compact"/>
      </w:pPr>
      <w:r>
        <w:t xml:space="preserve">Datentypen</w:t>
      </w:r>
    </w:p>
    <w:p>
      <w:pPr>
        <w:numPr>
          <w:ilvl w:val="0"/>
          <w:numId w:val="1010"/>
        </w:numPr>
        <w:pStyle w:val="Compact"/>
      </w:pPr>
      <w:r>
        <w:t xml:space="preserve">leere Werte</w:t>
      </w:r>
    </w:p>
    <w:p>
      <w:pPr>
        <w:numPr>
          <w:ilvl w:val="0"/>
          <w:numId w:val="1010"/>
        </w:numPr>
        <w:pStyle w:val="Compact"/>
      </w:pPr>
      <w:r>
        <w:t xml:space="preserve">eindeutige Schlüssel</w:t>
      </w:r>
    </w:p>
    <w:p>
      <w:pPr>
        <w:pStyle w:val="FirstParagraph"/>
      </w:pPr>
      <w:r>
        <w:t xml:space="preserve">Ein erfolgreicher Import bedeutet nicht automatisch, dass die Daten fachlich korrekt sind.</w:t>
      </w:r>
    </w:p>
    <w:p>
      <w:r>
        <w:br w:type="page"/>
      </w:r>
    </w:p>
    <w:bookmarkEnd w:id="80"/>
    <w:bookmarkEnd w:id="81"/>
    <w:bookmarkStart w:id="85" w:name="csv-exportieren"/>
    <w:p>
      <w:pPr>
        <w:pStyle w:val="Heading1"/>
      </w:pPr>
      <w:r>
        <w:t xml:space="preserve">CSV exportieren</w:t>
      </w:r>
    </w:p>
    <w:bookmarkStart w:id="82" w:name="sqlite-cli-2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.output schueler.csv</w:t>
      </w:r>
      <w:r>
        <w:br/>
      </w:r>
      <w:r>
        <w:rPr>
          <w:rStyle w:val="VerbatimChar"/>
        </w:rPr>
        <w:t xml:space="preserve">SELECT * FROM Schueler;</w:t>
      </w:r>
      <w:r>
        <w:br/>
      </w:r>
      <w:r>
        <w:rPr>
          <w:rStyle w:val="VerbatimChar"/>
        </w:rPr>
        <w:t xml:space="preserve">.output stdout</w:t>
      </w:r>
    </w:p>
    <w:bookmarkEnd w:id="82"/>
    <w:bookmarkStart w:id="83" w:name="db-browser-for-sqlite-2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Abfragen oder Tabellen können über die Exportfunktionen als CSV gespeichert werden.</w:t>
      </w:r>
    </w:p>
    <w:bookmarkEnd w:id="83"/>
    <w:bookmarkStart w:id="84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CSV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Tabellenkalkulation,</w:t>
      </w:r>
    </w:p>
    <w:p>
      <w:pPr>
        <w:numPr>
          <w:ilvl w:val="0"/>
          <w:numId w:val="1011"/>
        </w:numPr>
        <w:pStyle w:val="Compact"/>
      </w:pPr>
      <w:r>
        <w:t xml:space="preserve">Datenaustausch,</w:t>
      </w:r>
    </w:p>
    <w:p>
      <w:pPr>
        <w:numPr>
          <w:ilvl w:val="0"/>
          <w:numId w:val="1011"/>
        </w:numPr>
        <w:pStyle w:val="Compact"/>
      </w:pPr>
      <w:r>
        <w:t xml:space="preserve">kleinere Analysen,</w:t>
      </w:r>
    </w:p>
    <w:p>
      <w:pPr>
        <w:numPr>
          <w:ilvl w:val="0"/>
          <w:numId w:val="1011"/>
        </w:numPr>
        <w:pStyle w:val="Compact"/>
      </w:pPr>
      <w:r>
        <w:t xml:space="preserve">Sicherung einzelner Abfrageergebnisse.</w:t>
      </w:r>
    </w:p>
    <w:p>
      <w:r>
        <w:br w:type="page"/>
      </w:r>
    </w:p>
    <w:bookmarkEnd w:id="84"/>
    <w:bookmarkEnd w:id="85"/>
    <w:bookmarkStart w:id="90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Eine SQLite-Datenbank ist häufig nur eine Datei.</w:t>
      </w:r>
    </w:p>
    <w:p>
      <w:pPr>
        <w:pStyle w:val="BodyText"/>
      </w:pPr>
      <w:r>
        <w:t xml:space="preserve">Trotzdem sollte sie nicht beliebig während laufender Schreibzugriffe kopiert werden.</w:t>
      </w:r>
    </w:p>
    <w:bookmarkStart w:id="86" w:name="sqlite-cli-3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86"/>
    <w:bookmarkStart w:id="87" w:name="wiederherstellung"/>
    <w:p>
      <w:pPr>
        <w:pStyle w:val="Heading2"/>
      </w:pPr>
      <w:r>
        <w:t xml:space="preserve">Wiederherstellung</w:t>
      </w:r>
    </w:p>
    <w:p>
      <w:pPr>
        <w:pStyle w:val="FirstParagraph"/>
      </w:pPr>
      <w:r>
        <w:t xml:space="preserve">Eine Sicherungsdatei kann anschließend wie jede andere SQLite-Datenbank geöffnet werden.</w:t>
      </w:r>
    </w:p>
    <w:bookmarkEnd w:id="87"/>
    <w:bookmarkStart w:id="88" w:name="empfehlung-3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Vor größeren Schemaänderungen:</w:t>
      </w:r>
    </w:p>
    <w:p>
      <w:pPr>
        <w:numPr>
          <w:ilvl w:val="0"/>
          <w:numId w:val="1012"/>
        </w:numPr>
        <w:pStyle w:val="Compact"/>
      </w:pPr>
      <w:r>
        <w:t xml:space="preserve">Datenbank schließen oder konsistent sichern.</w:t>
      </w:r>
    </w:p>
    <w:p>
      <w:pPr>
        <w:numPr>
          <w:ilvl w:val="0"/>
          <w:numId w:val="1012"/>
        </w:numPr>
        <w:pStyle w:val="Compact"/>
      </w:pPr>
      <w:r>
        <w:t xml:space="preserve">Backup erzeugen.</w:t>
      </w:r>
    </w:p>
    <w:p>
      <w:pPr>
        <w:numPr>
          <w:ilvl w:val="0"/>
          <w:numId w:val="1012"/>
        </w:numPr>
        <w:pStyle w:val="Compact"/>
      </w:pPr>
      <w:r>
        <w:t xml:space="preserve">Änderung durchführen.</w:t>
      </w:r>
    </w:p>
    <w:p>
      <w:pPr>
        <w:numPr>
          <w:ilvl w:val="0"/>
          <w:numId w:val="1012"/>
        </w:numPr>
        <w:pStyle w:val="Compact"/>
      </w:pPr>
      <w:r>
        <w:t xml:space="preserve">Ergebnis prüfen.</w:t>
      </w:r>
    </w:p>
    <w:bookmarkEnd w:id="88"/>
    <w:bookmarkStart w:id="89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Eine Änderung ohne Backup ist nur so lange harmlos, bis sie schiefgeht.</w:t>
      </w:r>
    </w:p>
    <w:p>
      <w:r>
        <w:br w:type="page"/>
      </w:r>
    </w:p>
    <w:bookmarkEnd w:id="89"/>
    <w:bookmarkEnd w:id="90"/>
    <w:bookmarkStart w:id="92" w:name="transaktionen-in-sqlite"/>
    <w:p>
      <w:pPr>
        <w:pStyle w:val="Heading1"/>
      </w:pPr>
      <w:r>
        <w:t xml:space="preserve">Transaktionen in SQLite</w:t>
      </w:r>
    </w:p>
    <w:p>
      <w:pPr>
        <w:pStyle w:val="FirstParagraph"/>
      </w:pPr>
      <w:r>
        <w:t xml:space="preserve">SQLite unterstützt Transaktionen.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Bei einem Fehler:</w:t>
      </w:r>
    </w:p>
    <w:p>
      <w:pPr>
        <w:pStyle w:val="SourceCode"/>
      </w:pP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bookmarkStart w:id="91" w:name="bedeutung"/>
    <w:p>
      <w:pPr>
        <w:pStyle w:val="Heading2"/>
      </w:pPr>
      <w:r>
        <w:t xml:space="preserve">Bedeutung</w:t>
      </w:r>
    </w:p>
    <w:p>
      <w:pPr>
        <w:pStyle w:val="FirstParagraph"/>
      </w:pPr>
      <w:r>
        <w:t xml:space="preserve">Mehrere Änderungen können damit als gemeinsame Einheit behandelt werden.</w:t>
      </w:r>
    </w:p>
    <w:p>
      <w:pPr>
        <w:pStyle w:val="BodyText"/>
      </w:pPr>
      <w:r>
        <w:t xml:space="preserve">Transaktionen gehören fachlich zu den SQL-/Datenbankgrundlagen, werden hier aber zusätzlich praktisch für SQLite gezeigt.</w:t>
      </w:r>
    </w:p>
    <w:p>
      <w:r>
        <w:br w:type="page"/>
      </w:r>
    </w:p>
    <w:bookmarkEnd w:id="91"/>
    <w:bookmarkEnd w:id="92"/>
    <w:bookmarkStart w:id="94" w:name="indizes-in-sqlite"/>
    <w:p>
      <w:pPr>
        <w:pStyle w:val="Heading1"/>
      </w:pPr>
      <w:r>
        <w:t xml:space="preserve">Indizes in SQLite</w:t>
      </w:r>
    </w:p>
    <w:p>
      <w:pPr>
        <w:pStyle w:val="FirstParagraph"/>
      </w:pPr>
      <w:r>
        <w:t xml:space="preserve">Index anlegen: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p>
      <w:pPr>
        <w:pStyle w:val="FirstParagraph"/>
      </w:pPr>
      <w:r>
        <w:t xml:space="preserve">Indizes anzeigen: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sqlite_master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Index 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idx_schueler_name;</w:t>
      </w:r>
    </w:p>
    <w:bookmarkStart w:id="93" w:name="abfrageplan"/>
    <w:p>
      <w:pPr>
        <w:pStyle w:val="Heading2"/>
      </w:pPr>
      <w:r>
        <w:t xml:space="preserve">Abfrageplan</w:t>
      </w:r>
    </w:p>
    <w:p>
      <w:pPr>
        <w:pStyle w:val="FirstParagraph"/>
      </w:pPr>
      <w:r>
        <w:t xml:space="preserve">SQLite kann den geplanten Zugriff anzeigen: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Das hilft zu erkennen, ob ein Index verwendet wird.</w:t>
      </w:r>
    </w:p>
    <w:p>
      <w:r>
        <w:br w:type="page"/>
      </w:r>
    </w:p>
    <w:bookmarkEnd w:id="93"/>
    <w:bookmarkEnd w:id="94"/>
    <w:bookmarkStart w:id="96" w:name="views-in-sqlite"/>
    <w:p>
      <w:pPr>
        <w:pStyle w:val="Heading1"/>
      </w:pPr>
      <w:r>
        <w:t xml:space="preserve">Views in SQLite</w:t>
      </w:r>
    </w:p>
    <w:p>
      <w:pPr>
        <w:pStyle w:val="FirstParagraph"/>
      </w:pPr>
      <w:r>
        <w:t xml:space="preserve">SQLite unterstützt Views.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Schueler.SchuelerID,</w:t>
      </w:r>
      <w:r>
        <w:br/>
      </w:r>
      <w:r>
        <w:rPr>
          <w:rStyle w:val="NormalTok"/>
        </w:rPr>
        <w:t xml:space="preserve">    Schueler.Name,</w:t>
      </w:r>
      <w:r>
        <w:br/>
      </w:r>
      <w:r>
        <w:rPr>
          <w:rStyle w:val="NormalTok"/>
        </w:rPr>
        <w:t xml:space="preserve">   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Abfrage: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SchuelerMitKlasse;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SchuelerMitKlasse;</w:t>
      </w:r>
    </w:p>
    <w:bookmarkStart w:id="9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Views sind ein fortgeschrittenes Thema.</w:t>
      </w:r>
    </w:p>
    <w:p>
      <w:pPr>
        <w:pStyle w:val="BodyText"/>
      </w:pPr>
      <w:r>
        <w:t xml:space="preserve">Die allgemeinen Konzepte gehören in den SQL-Grundlagenbereich, sobald sie dort eingeführt werden.</w:t>
      </w:r>
    </w:p>
    <w:p>
      <w:r>
        <w:br w:type="page"/>
      </w:r>
    </w:p>
    <w:bookmarkEnd w:id="95"/>
    <w:bookmarkEnd w:id="96"/>
    <w:bookmarkStart w:id="99" w:name="trigger-in-sqlite"/>
    <w:p>
      <w:pPr>
        <w:pStyle w:val="Heading1"/>
      </w:pPr>
      <w:r>
        <w:t xml:space="preserve">Trigger in SQLite</w:t>
      </w:r>
    </w:p>
    <w:p>
      <w:pPr>
        <w:pStyle w:val="FirstParagraph"/>
      </w:pPr>
      <w:r>
        <w:t xml:space="preserve">SQLite unterstützt Trigger.</w:t>
      </w:r>
    </w:p>
    <w:p>
      <w:pPr>
        <w:pStyle w:val="BodyText"/>
      </w:pPr>
      <w:r>
        <w:t xml:space="preserve">Ein Trigger führt automatisch SQL aus, wenn ein bestimmtes Ereignis eintritt.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Beispiel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weitere SQL-Anweisungen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bookmarkStart w:id="97" w:name="einsatzgebiete"/>
    <w:p>
      <w:pPr>
        <w:pStyle w:val="Heading2"/>
      </w:pPr>
      <w:r>
        <w:t xml:space="preserve">Einsatzgebiete</w:t>
      </w:r>
    </w:p>
    <w:p>
      <w:pPr>
        <w:numPr>
          <w:ilvl w:val="0"/>
          <w:numId w:val="1013"/>
        </w:numPr>
        <w:pStyle w:val="Compact"/>
      </w:pPr>
      <w:r>
        <w:t xml:space="preserve">Protokollierung</w:t>
      </w:r>
    </w:p>
    <w:p>
      <w:pPr>
        <w:numPr>
          <w:ilvl w:val="0"/>
          <w:numId w:val="1013"/>
        </w:numPr>
        <w:pStyle w:val="Compact"/>
      </w:pPr>
      <w:r>
        <w:t xml:space="preserve">automatische Folgeänderungen</w:t>
      </w:r>
    </w:p>
    <w:p>
      <w:pPr>
        <w:numPr>
          <w:ilvl w:val="0"/>
          <w:numId w:val="1013"/>
        </w:numPr>
        <w:pStyle w:val="Compact"/>
      </w:pPr>
      <w:r>
        <w:t xml:space="preserve">zusätzliche Prüfungen</w:t>
      </w:r>
    </w:p>
    <w:bookmarkEnd w:id="97"/>
    <w:bookmarkStart w:id="98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Trigger sind ein fortgeschrittenes Thema und sollten erst eingesetzt werden, wenn normale SQL-Operationen sicher beherrscht werden.</w:t>
      </w:r>
    </w:p>
    <w:p>
      <w:r>
        <w:br w:type="page"/>
      </w:r>
    </w:p>
    <w:bookmarkEnd w:id="98"/>
    <w:bookmarkEnd w:id="99"/>
    <w:bookmarkStart w:id="101" w:name="stored-procedures-und-sqlite"/>
    <w:p>
      <w:pPr>
        <w:pStyle w:val="Heading1"/>
      </w:pPr>
      <w:r>
        <w:t xml:space="preserve">Stored Procedures und SQLite</w:t>
      </w:r>
    </w:p>
    <w:p>
      <w:pPr>
        <w:pStyle w:val="FirstParagraph"/>
      </w:pPr>
      <w:r>
        <w:t xml:space="preserve">SQLite besitzt keine Stored Procedures wie beispielsweise Oracle, PostgreSQL oder SQL Server.</w:t>
      </w:r>
    </w:p>
    <w:p>
      <w:pPr>
        <w:pStyle w:val="BodyText"/>
      </w:pPr>
      <w:r>
        <w:t xml:space="preserve">Geschäftslogik wird bei SQLite typischerweise:</w:t>
      </w:r>
    </w:p>
    <w:p>
      <w:pPr>
        <w:numPr>
          <w:ilvl w:val="0"/>
          <w:numId w:val="1014"/>
        </w:numPr>
        <w:pStyle w:val="Compact"/>
      </w:pPr>
      <w:r>
        <w:t xml:space="preserve">in der Anwendung,</w:t>
      </w:r>
    </w:p>
    <w:p>
      <w:pPr>
        <w:numPr>
          <w:ilvl w:val="0"/>
          <w:numId w:val="1014"/>
        </w:numPr>
        <w:pStyle w:val="Compact"/>
      </w:pPr>
      <w:r>
        <w:t xml:space="preserve">über Trigger,</w:t>
      </w:r>
    </w:p>
    <w:p>
      <w:pPr>
        <w:numPr>
          <w:ilvl w:val="0"/>
          <w:numId w:val="1014"/>
        </w:numPr>
        <w:pStyle w:val="Compact"/>
      </w:pPr>
      <w:r>
        <w:t xml:space="preserve">oder über Erweiterungen</w:t>
      </w:r>
    </w:p>
    <w:p>
      <w:pPr>
        <w:pStyle w:val="FirstParagraph"/>
      </w:pPr>
      <w:r>
        <w:t xml:space="preserve">umgesetzt.</w:t>
      </w:r>
    </w:p>
    <w:bookmarkStart w:id="100" w:name="konsequenz-1"/>
    <w:p>
      <w:pPr>
        <w:pStyle w:val="Heading2"/>
      </w:pPr>
      <w:r>
        <w:t xml:space="preserve">Konsequenz</w:t>
      </w:r>
    </w:p>
    <w:p>
      <w:pPr>
        <w:pStyle w:val="FirstParagraph"/>
      </w:pPr>
      <w:r>
        <w:t xml:space="preserve">Stored Procedures gehören nicht zum SQLite-Unterricht.</w:t>
      </w:r>
    </w:p>
    <w:p>
      <w:pPr>
        <w:pStyle w:val="BodyText"/>
      </w:pPr>
      <w:r>
        <w:t xml:space="preserve">Das allgemeine Konzept kann später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behandelt werden.</w:t>
      </w:r>
    </w:p>
    <w:p>
      <w:r>
        <w:br w:type="page"/>
      </w:r>
    </w:p>
    <w:bookmarkEnd w:id="100"/>
    <w:bookmarkEnd w:id="101"/>
    <w:bookmarkStart w:id="109" w:name="typische-fehler"/>
    <w:p>
      <w:pPr>
        <w:pStyle w:val="Heading1"/>
      </w:pPr>
      <w:r>
        <w:t xml:space="preserve">Typische Fehler</w:t>
      </w:r>
    </w:p>
    <w:bookmarkStart w:id="102" w:name="no-such-table"/>
    <w:p>
      <w:pPr>
        <w:pStyle w:val="Heading2"/>
      </w:pPr>
      <w:r>
        <w:t xml:space="preserve">no such table</w:t>
      </w:r>
    </w:p>
    <w:p>
      <w:pPr>
        <w:pStyle w:val="SourceCode"/>
      </w:pPr>
      <w:r>
        <w:rPr>
          <w:rStyle w:val="VerbatimChar"/>
        </w:rPr>
        <w:t xml:space="preserve">no such table: Schueler</w:t>
      </w:r>
    </w:p>
    <w:p>
      <w:pPr>
        <w:pStyle w:val="FirstParagraph"/>
      </w:pPr>
      <w:r>
        <w:t xml:space="preserve">Mögliche Ursache:</w:t>
      </w:r>
    </w:p>
    <w:p>
      <w:pPr>
        <w:numPr>
          <w:ilvl w:val="0"/>
          <w:numId w:val="1015"/>
        </w:numPr>
        <w:pStyle w:val="Compact"/>
      </w:pPr>
      <w:r>
        <w:t xml:space="preserve">Tabelle nicht angelegt,</w:t>
      </w:r>
    </w:p>
    <w:p>
      <w:pPr>
        <w:numPr>
          <w:ilvl w:val="0"/>
          <w:numId w:val="1015"/>
        </w:numPr>
        <w:pStyle w:val="Compact"/>
      </w:pPr>
      <w:r>
        <w:t xml:space="preserve">falsche Datenbank geöffnet,</w:t>
      </w:r>
    </w:p>
    <w:p>
      <w:pPr>
        <w:numPr>
          <w:ilvl w:val="0"/>
          <w:numId w:val="1015"/>
        </w:numPr>
        <w:pStyle w:val="Compact"/>
      </w:pPr>
      <w:r>
        <w:t xml:space="preserve">Schreibfehler.</w:t>
      </w:r>
    </w:p>
    <w:p>
      <w:r>
        <w:pict>
          <v:rect style="width:0;height:1.5pt" o:hralign="center" o:hrstd="t" o:hr="t"/>
        </w:pict>
      </w:r>
    </w:p>
    <w:bookmarkEnd w:id="102"/>
    <w:bookmarkStart w:id="103" w:name="no-such-column"/>
    <w:p>
      <w:pPr>
        <w:pStyle w:val="Heading2"/>
      </w:pPr>
      <w:r>
        <w:t xml:space="preserve">no such column</w:t>
      </w:r>
    </w:p>
    <w:p>
      <w:pPr>
        <w:pStyle w:val="SourceCode"/>
      </w:pPr>
      <w:r>
        <w:rPr>
          <w:rStyle w:val="VerbatimChar"/>
        </w:rPr>
        <w:t xml:space="preserve">no such column: Klasse</w:t>
      </w:r>
    </w:p>
    <w:p>
      <w:pPr>
        <w:pStyle w:val="FirstParagraph"/>
      </w:pPr>
      <w:r>
        <w:t xml:space="preserve">Spaltennamen prüfen.</w:t>
      </w:r>
    </w:p>
    <w:p>
      <w:r>
        <w:pict>
          <v:rect style="width:0;height:1.5pt" o:hralign="center" o:hrstd="t" o:hr="t"/>
        </w:pict>
      </w:r>
    </w:p>
    <w:bookmarkEnd w:id="103"/>
    <w:bookmarkStart w:id="104" w:name="unique-constraint-failed"/>
    <w:p>
      <w:pPr>
        <w:pStyle w:val="Heading2"/>
      </w:pPr>
      <w:r>
        <w:t xml:space="preserve">UNIQUE constraint failed</w:t>
      </w:r>
    </w:p>
    <w:p>
      <w:pPr>
        <w:pStyle w:val="FirstParagraph"/>
      </w:pPr>
      <w:r>
        <w:t xml:space="preserve">Ein eindeutiger Wert existiert bereits.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UNIQUE constraint failed: Benutzer.Email</w:t>
      </w:r>
    </w:p>
    <w:p>
      <w:r>
        <w:pict>
          <v:rect style="width:0;height:1.5pt" o:hralign="center" o:hrstd="t" o:hr="t"/>
        </w:pict>
      </w:r>
    </w:p>
    <w:bookmarkEnd w:id="104"/>
    <w:bookmarkStart w:id="105" w:name="foreign-key-constraint-failed"/>
    <w:p>
      <w:pPr>
        <w:pStyle w:val="Heading2"/>
      </w:pPr>
      <w:r>
        <w:t xml:space="preserve">FOREIGN KEY constraint failed</w:t>
      </w:r>
    </w:p>
    <w:p>
      <w:pPr>
        <w:pStyle w:val="FirstParagraph"/>
      </w:pPr>
      <w:r>
        <w:t xml:space="preserve">Ein Fremdschlüssel verweist auf einen ungültigen Datensatz oder eine Löschoperation verletzt eine Beziehung.</w:t>
      </w:r>
    </w:p>
    <w:p>
      <w:r>
        <w:pict>
          <v:rect style="width:0;height:1.5pt" o:hralign="center" o:hrstd="t" o:hr="t"/>
        </w:pict>
      </w:r>
    </w:p>
    <w:bookmarkEnd w:id="105"/>
    <w:bookmarkStart w:id="106" w:name="database-is-locked"/>
    <w:p>
      <w:pPr>
        <w:pStyle w:val="Heading2"/>
      </w:pPr>
      <w:r>
        <w:t xml:space="preserve">database is locked</w:t>
      </w:r>
    </w:p>
    <w:p>
      <w:pPr>
        <w:pStyle w:val="FirstParagraph"/>
      </w:pPr>
      <w:r>
        <w:t xml:space="preserve">Eine andere Verbindung verwendet die Datenbank gerade für einen Schreibzugriff.</w:t>
      </w:r>
    </w:p>
    <w:p>
      <w:r>
        <w:pict>
          <v:rect style="width:0;height:1.5pt" o:hralign="center" o:hrstd="t" o:hr="t"/>
        </w:pict>
      </w:r>
    </w:p>
    <w:bookmarkEnd w:id="106"/>
    <w:bookmarkStart w:id="107" w:name="syntax-error"/>
    <w:p>
      <w:pPr>
        <w:pStyle w:val="Heading2"/>
      </w:pPr>
      <w:r>
        <w:t xml:space="preserve">syntax error</w:t>
      </w:r>
    </w:p>
    <w:p>
      <w:pPr>
        <w:pStyle w:val="FirstParagraph"/>
      </w:pPr>
      <w:r>
        <w:t xml:space="preserve">SQL-Syntax prüfen:</w:t>
      </w:r>
    </w:p>
    <w:p>
      <w:pPr>
        <w:numPr>
          <w:ilvl w:val="0"/>
          <w:numId w:val="1016"/>
        </w:numPr>
        <w:pStyle w:val="Compact"/>
      </w:pPr>
      <w:r>
        <w:t xml:space="preserve">Komma,</w:t>
      </w:r>
    </w:p>
    <w:p>
      <w:pPr>
        <w:numPr>
          <w:ilvl w:val="0"/>
          <w:numId w:val="1016"/>
        </w:numPr>
        <w:pStyle w:val="Compact"/>
      </w:pPr>
      <w:r>
        <w:t xml:space="preserve">Klammern,</w:t>
      </w:r>
    </w:p>
    <w:p>
      <w:pPr>
        <w:numPr>
          <w:ilvl w:val="0"/>
          <w:numId w:val="1016"/>
        </w:numPr>
        <w:pStyle w:val="Compact"/>
      </w:pPr>
      <w:r>
        <w:t xml:space="preserve">Schlüsselwörter,</w:t>
      </w:r>
    </w:p>
    <w:p>
      <w:pPr>
        <w:numPr>
          <w:ilvl w:val="0"/>
          <w:numId w:val="1016"/>
        </w:numPr>
        <w:pStyle w:val="Compact"/>
      </w:pPr>
      <w:r>
        <w:t xml:space="preserve">Anführungszeichen,</w:t>
      </w:r>
    </w:p>
    <w:p>
      <w:pPr>
        <w:numPr>
          <w:ilvl w:val="0"/>
          <w:numId w:val="1016"/>
        </w:numPr>
        <w:pStyle w:val="Compact"/>
      </w:pPr>
      <w:r>
        <w:t xml:space="preserve">Semikolon.</w:t>
      </w:r>
    </w:p>
    <w:bookmarkEnd w:id="107"/>
    <w:bookmarkStart w:id="108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17"/>
        </w:numPr>
        <w:pStyle w:val="Compact"/>
      </w:pPr>
      <w:r>
        <w:t xml:space="preserve">Fehlermeldung vollständig lesen.</w:t>
      </w:r>
    </w:p>
    <w:p>
      <w:pPr>
        <w:numPr>
          <w:ilvl w:val="0"/>
          <w:numId w:val="1017"/>
        </w:numPr>
        <w:pStyle w:val="Compact"/>
      </w:pPr>
      <w:r>
        <w:t xml:space="preserve">kleinste betroffene SQL-Anweisung isolieren.</w:t>
      </w:r>
    </w:p>
    <w:p>
      <w:pPr>
        <w:numPr>
          <w:ilvl w:val="0"/>
          <w:numId w:val="1017"/>
        </w:numPr>
        <w:pStyle w:val="Compact"/>
      </w:pPr>
      <w:r>
        <w:t xml:space="preserve">Tabellen- und Spaltennamen prüfen.</w:t>
      </w:r>
    </w:p>
    <w:p>
      <w:pPr>
        <w:numPr>
          <w:ilvl w:val="0"/>
          <w:numId w:val="1017"/>
        </w:numPr>
        <w:pStyle w:val="Compact"/>
      </w:pPr>
      <w:r>
        <w:t xml:space="preserve">Schema kontrollieren.</w:t>
      </w:r>
    </w:p>
    <w:p>
      <w:pPr>
        <w:numPr>
          <w:ilvl w:val="0"/>
          <w:numId w:val="1017"/>
        </w:numPr>
        <w:pStyle w:val="Compact"/>
      </w:pPr>
      <w:r>
        <w:t xml:space="preserve">Änderung einzeln testen.</w:t>
      </w:r>
    </w:p>
    <w:p>
      <w:r>
        <w:br w:type="page"/>
      </w:r>
    </w:p>
    <w:bookmarkEnd w:id="108"/>
    <w:bookmarkEnd w:id="109"/>
    <w:bookmarkStart w:id="118" w:name="howto-sqlite-im-unterricht"/>
    <w:p>
      <w:pPr>
        <w:pStyle w:val="Heading1"/>
      </w:pPr>
      <w:r>
        <w:t xml:space="preserve">HowTo – SQLite im Unterricht</w:t>
      </w:r>
    </w:p>
    <w:bookmarkStart w:id="110" w:name="neue-übungsdatenbank"/>
    <w:p>
      <w:pPr>
        <w:pStyle w:val="Heading2"/>
      </w:pPr>
      <w:r>
        <w:t xml:space="preserve">Neue Übungsdatenbank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110"/>
    <w:bookmarkStart w:id="111" w:name="fremdschlüssel-aktivieren"/>
    <w:p>
      <w:pPr>
        <w:pStyle w:val="Heading2"/>
      </w:pPr>
      <w:r>
        <w:t xml:space="preserve">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11"/>
    <w:bookmarkStart w:id="112" w:name="schema-ausführen"/>
    <w:p>
      <w:pPr>
        <w:pStyle w:val="Heading2"/>
      </w:pPr>
      <w:r>
        <w:t xml:space="preserve">Schema ausführen</w:t>
      </w:r>
    </w:p>
    <w:p>
      <w:pPr>
        <w:pStyle w:val="SourceCode"/>
      </w:pPr>
      <w:r>
        <w:rPr>
          <w:rStyle w:val="VerbatimChar"/>
        </w:rPr>
        <w:t xml:space="preserve">.read Beispiele/schulverwaltung_sqlite.sql</w:t>
      </w:r>
    </w:p>
    <w:bookmarkEnd w:id="112"/>
    <w:bookmarkStart w:id="113" w:name="tabellen-prüfen"/>
    <w:p>
      <w:pPr>
        <w:pStyle w:val="Heading2"/>
      </w:pPr>
      <w:r>
        <w:t xml:space="preserve">Tabellen prüfen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13"/>
    <w:bookmarkStart w:id="114" w:name="daten-anzeigen"/>
    <w:p>
      <w:pPr>
        <w:pStyle w:val="Heading2"/>
      </w:pPr>
      <w:r>
        <w:t xml:space="preserve">Daten anzeigen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4"/>
    <w:bookmarkStart w:id="115" w:name="crud-üben"/>
    <w:p>
      <w:pPr>
        <w:pStyle w:val="Heading2"/>
      </w:pPr>
      <w:r>
        <w:t xml:space="preserve">CRUD üben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End w:id="115"/>
    <w:bookmarkStart w:id="116" w:name="beenden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16"/>
    <w:bookmarkStart w:id="117" w:name="empfohlener-lernweg"/>
    <w:p>
      <w:pPr>
        <w:pStyle w:val="Heading2"/>
      </w:pPr>
      <w:r>
        <w:t xml:space="preserve">Empfohlener Lernweg</w:t>
      </w:r>
    </w:p>
    <w:p>
      <w:pPr>
        <w:numPr>
          <w:ilvl w:val="0"/>
          <w:numId w:val="1018"/>
        </w:numPr>
        <w:pStyle w:val="Compact"/>
      </w:pPr>
      <w:r>
        <w:t xml:space="preserve">Tabelle ansehen.</w:t>
      </w:r>
    </w:p>
    <w:p>
      <w:pPr>
        <w:numPr>
          <w:ilvl w:val="0"/>
          <w:numId w:val="1018"/>
        </w:numPr>
        <w:pStyle w:val="Compact"/>
      </w:pPr>
      <w:r>
        <w:t xml:space="preserve">SELECT ausführen.</w:t>
      </w:r>
    </w:p>
    <w:p>
      <w:pPr>
        <w:numPr>
          <w:ilvl w:val="0"/>
          <w:numId w:val="1018"/>
        </w:numPr>
        <w:pStyle w:val="Compact"/>
      </w:pPr>
      <w:r>
        <w:t xml:space="preserve">INSERT ausführen.</w:t>
      </w:r>
    </w:p>
    <w:p>
      <w:pPr>
        <w:numPr>
          <w:ilvl w:val="0"/>
          <w:numId w:val="1018"/>
        </w:numPr>
        <w:pStyle w:val="Compact"/>
      </w:pPr>
      <w:r>
        <w:t xml:space="preserve">UPDATE ausführen.</w:t>
      </w:r>
    </w:p>
    <w:p>
      <w:pPr>
        <w:numPr>
          <w:ilvl w:val="0"/>
          <w:numId w:val="1018"/>
        </w:numPr>
        <w:pStyle w:val="Compact"/>
      </w:pPr>
      <w:r>
        <w:t xml:space="preserve">DELETE ausführen.</w:t>
      </w:r>
    </w:p>
    <w:p>
      <w:pPr>
        <w:numPr>
          <w:ilvl w:val="0"/>
          <w:numId w:val="1018"/>
        </w:numPr>
        <w:pStyle w:val="Compact"/>
      </w:pPr>
      <w:r>
        <w:t xml:space="preserve">neue Tabelle anlegen.</w:t>
      </w:r>
    </w:p>
    <w:p>
      <w:pPr>
        <w:numPr>
          <w:ilvl w:val="0"/>
          <w:numId w:val="1018"/>
        </w:numPr>
        <w:pStyle w:val="Compact"/>
      </w:pPr>
      <w:r>
        <w:t xml:space="preserve">Fremdschlüssel ergänzen.</w:t>
      </w:r>
    </w:p>
    <w:p>
      <w:pPr>
        <w:numPr>
          <w:ilvl w:val="0"/>
          <w:numId w:val="1018"/>
        </w:numPr>
        <w:pStyle w:val="Compact"/>
      </w:pPr>
      <w:r>
        <w:t xml:space="preserve">Join ausführen.</w:t>
      </w:r>
    </w:p>
    <w:p>
      <w:r>
        <w:br w:type="page"/>
      </w:r>
    </w:p>
    <w:bookmarkEnd w:id="117"/>
    <w:bookmarkEnd w:id="118"/>
    <w:bookmarkStart w:id="129" w:name="sqlite-cheatsheet"/>
    <w:p>
      <w:pPr>
        <w:pStyle w:val="Heading1"/>
      </w:pPr>
      <w:r>
        <w:t xml:space="preserve">SQLite Cheatsheet</w:t>
      </w:r>
    </w:p>
    <w:bookmarkStart w:id="119" w:name="start"/>
    <w:p>
      <w:pPr>
        <w:pStyle w:val="Heading2"/>
      </w:pPr>
      <w:r>
        <w:t xml:space="preserve">Start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datenbank.db</w:t>
      </w:r>
    </w:p>
    <w:bookmarkEnd w:id="119"/>
    <w:bookmarkStart w:id="120" w:name="hilfe-1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120"/>
    <w:bookmarkStart w:id="121" w:name="tabellen"/>
    <w:p>
      <w:pPr>
        <w:pStyle w:val="Heading2"/>
      </w:pPr>
      <w:r>
        <w:t xml:space="preserve">Tabellen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21"/>
    <w:bookmarkStart w:id="122" w:name="schema"/>
    <w:p>
      <w:pPr>
        <w:pStyle w:val="Heading2"/>
      </w:pPr>
      <w:r>
        <w:t xml:space="preserve">Schema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122"/>
    <w:bookmarkStart w:id="123" w:name="sql-datei"/>
    <w:p>
      <w:pPr>
        <w:pStyle w:val="Heading2"/>
      </w:pPr>
      <w:r>
        <w:t xml:space="preserve">SQL-Datei</w:t>
      </w:r>
    </w:p>
    <w:p>
      <w:pPr>
        <w:pStyle w:val="SourceCode"/>
      </w:pPr>
      <w:r>
        <w:rPr>
          <w:rStyle w:val="VerbatimChar"/>
        </w:rPr>
        <w:t xml:space="preserve">.read datei.sql</w:t>
      </w:r>
    </w:p>
    <w:bookmarkEnd w:id="123"/>
    <w:bookmarkStart w:id="124" w:name="format"/>
    <w:p>
      <w:pPr>
        <w:pStyle w:val="Heading2"/>
      </w:pPr>
      <w:r>
        <w:t xml:space="preserve">Format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24"/>
    <w:bookmarkStart w:id="125" w:name="fremdschlüssel"/>
    <w:p>
      <w:pPr>
        <w:pStyle w:val="Heading2"/>
      </w:pPr>
      <w:r>
        <w:t xml:space="preserve">Fremdschlüssel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25"/>
    <w:bookmarkStart w:id="126" w:name="backup-1"/>
    <w:p>
      <w:pPr>
        <w:pStyle w:val="Heading2"/>
      </w:pPr>
      <w:r>
        <w:t xml:space="preserve">Backup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126"/>
    <w:bookmarkStart w:id="127" w:name="import-csv"/>
    <w:p>
      <w:pPr>
        <w:pStyle w:val="Heading2"/>
      </w:pPr>
      <w:r>
        <w:t xml:space="preserve">Import CSV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Tabelle</w:t>
      </w:r>
    </w:p>
    <w:bookmarkEnd w:id="127"/>
    <w:bookmarkStart w:id="128" w:name="beenden-1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p>
      <w:r>
        <w:br w:type="page"/>
      </w:r>
    </w:p>
    <w:bookmarkEnd w:id="128"/>
    <w:bookmarkEnd w:id="129"/>
    <w:bookmarkStart w:id="137" w:name="übungen"/>
    <w:p>
      <w:pPr>
        <w:pStyle w:val="Heading1"/>
      </w:pPr>
      <w:r>
        <w:t xml:space="preserve">Übungen</w:t>
      </w:r>
    </w:p>
    <w:bookmarkStart w:id="130" w:name="datenbank-öffnen"/>
    <w:p>
      <w:pPr>
        <w:pStyle w:val="Heading2"/>
      </w:pPr>
      <w:r>
        <w:t xml:space="preserve">1 – Datenbank öffnen</w:t>
      </w:r>
    </w:p>
    <w:p>
      <w:pPr>
        <w:pStyle w:val="FirstParagraph"/>
      </w:pPr>
      <w:r>
        <w:t xml:space="preserve">Lege eine neue Datenbank</w:t>
      </w:r>
      <w:r>
        <w:t xml:space="preserve"> </w:t>
      </w:r>
      <w:r>
        <w:rPr>
          <w:rStyle w:val="VerbatimChar"/>
        </w:rPr>
        <w:t xml:space="preserve">schule.db</w:t>
      </w:r>
      <w:r>
        <w:t xml:space="preserve"> </w:t>
      </w:r>
      <w:r>
        <w:t xml:space="preserve">an.</w:t>
      </w:r>
    </w:p>
    <w:p>
      <w:r>
        <w:pict>
          <v:rect style="width:0;height:1.5pt" o:hralign="center" o:hrstd="t" o:hr="t"/>
        </w:pict>
      </w:r>
    </w:p>
    <w:bookmarkEnd w:id="130"/>
    <w:bookmarkStart w:id="131" w:name="fremdschlüssel-1"/>
    <w:p>
      <w:pPr>
        <w:pStyle w:val="Heading2"/>
      </w:pPr>
      <w:r>
        <w:t xml:space="preserve">2 – Fremdschlüssel</w:t>
      </w:r>
    </w:p>
    <w:p>
      <w:pPr>
        <w:pStyle w:val="FirstParagraph"/>
      </w:pPr>
      <w:r>
        <w:t xml:space="preserve">Aktiviere Fremdschlüssel und prüfe den Status.</w:t>
      </w:r>
    </w:p>
    <w:p>
      <w:r>
        <w:pict>
          <v:rect style="width:0;height:1.5pt" o:hralign="center" o:hrstd="t" o:hr="t"/>
        </w:pict>
      </w:r>
    </w:p>
    <w:bookmarkEnd w:id="131"/>
    <w:bookmarkStart w:id="132" w:name="schema-1"/>
    <w:p>
      <w:pPr>
        <w:pStyle w:val="Heading2"/>
      </w:pPr>
      <w:r>
        <w:t xml:space="preserve">3 – Schema</w:t>
      </w:r>
    </w:p>
    <w:p>
      <w:pPr>
        <w:pStyle w:val="FirstParagraph"/>
      </w:pPr>
      <w:r>
        <w:t xml:space="preserve">Führe die Datei</w:t>
      </w:r>
      <w:r>
        <w:t xml:space="preserve"> </w:t>
      </w:r>
      <w:r>
        <w:rPr>
          <w:rStyle w:val="VerbatimChar"/>
        </w:rPr>
        <w:t xml:space="preserve">Beispiele/schulverwaltung_sqlite.sql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Prüfe anschließend die Tabellen.</w:t>
      </w:r>
    </w:p>
    <w:p>
      <w:r>
        <w:pict>
          <v:rect style="width:0;height:1.5pt" o:hralign="center" o:hrstd="t" o:hr="t"/>
        </w:pict>
      </w:r>
    </w:p>
    <w:bookmarkEnd w:id="132"/>
    <w:bookmarkStart w:id="133" w:name="crud"/>
    <w:p>
      <w:pPr>
        <w:pStyle w:val="Heading2"/>
      </w:pPr>
      <w:r>
        <w:t xml:space="preserve">4 – CRUD</w:t>
      </w:r>
    </w:p>
    <w:p>
      <w:pPr>
        <w:pStyle w:val="FirstParagraph"/>
      </w:pPr>
      <w:r>
        <w:t xml:space="preserve">Füge einen Schüler ein, lies ihn aus, ändere den Namen und lösche den Datensatz wieder.</w:t>
      </w:r>
    </w:p>
    <w:p>
      <w:r>
        <w:pict>
          <v:rect style="width:0;height:1.5pt" o:hralign="center" o:hrstd="t" o:hr="t"/>
        </w:pict>
      </w:r>
    </w:p>
    <w:bookmarkEnd w:id="133"/>
    <w:bookmarkStart w:id="134" w:name="csv"/>
    <w:p>
      <w:pPr>
        <w:pStyle w:val="Heading2"/>
      </w:pPr>
      <w:r>
        <w:t xml:space="preserve">5 – CSV</w:t>
      </w:r>
    </w:p>
    <w:p>
      <w:pPr>
        <w:pStyle w:val="FirstParagraph"/>
      </w:pPr>
      <w:r>
        <w:t xml:space="preserve">Exportiere die Tabelle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als CSV.</w:t>
      </w:r>
    </w:p>
    <w:p>
      <w:r>
        <w:pict>
          <v:rect style="width:0;height:1.5pt" o:hralign="center" o:hrstd="t" o:hr="t"/>
        </w:pict>
      </w:r>
    </w:p>
    <w:bookmarkEnd w:id="134"/>
    <w:bookmarkStart w:id="135" w:name="backup-2"/>
    <w:p>
      <w:pPr>
        <w:pStyle w:val="Heading2"/>
      </w:pPr>
      <w:r>
        <w:t xml:space="preserve">6 – Backup</w:t>
      </w:r>
    </w:p>
    <w:p>
      <w:pPr>
        <w:pStyle w:val="FirstParagraph"/>
      </w:pPr>
      <w:r>
        <w:t xml:space="preserve">Erzeuge eine Sicherungskopie der Datenbank.</w:t>
      </w:r>
    </w:p>
    <w:p>
      <w:r>
        <w:pict>
          <v:rect style="width:0;height:1.5pt" o:hralign="center" o:hrstd="t" o:hr="t"/>
        </w:pict>
      </w:r>
    </w:p>
    <w:bookmarkEnd w:id="135"/>
    <w:bookmarkStart w:id="136" w:name="index"/>
    <w:p>
      <w:pPr>
        <w:pStyle w:val="Heading2"/>
      </w:pPr>
      <w:r>
        <w:t xml:space="preserve">7 – Index</w:t>
      </w:r>
    </w:p>
    <w:p>
      <w:pPr>
        <w:pStyle w:val="FirstParagraph"/>
      </w:pPr>
      <w:r>
        <w:t xml:space="preserve">Erzeuge einen Index auf</w:t>
      </w:r>
      <w:r>
        <w:t xml:space="preserve"> </w:t>
      </w:r>
      <w:r>
        <w:rPr>
          <w:rStyle w:val="VerbatimChar"/>
        </w:rPr>
        <w:t xml:space="preserve">Schueler.Name</w:t>
      </w:r>
      <w:r>
        <w:t xml:space="preserve">.</w:t>
      </w:r>
    </w:p>
    <w:p>
      <w:pPr>
        <w:pStyle w:val="BodyText"/>
      </w:pPr>
      <w:r>
        <w:t xml:space="preserve">Vergleiche den Abfrageplan vorher und nachher.</w:t>
      </w:r>
    </w:p>
    <w:p>
      <w:r>
        <w:br w:type="page"/>
      </w:r>
    </w:p>
    <w:bookmarkEnd w:id="136"/>
    <w:bookmarkEnd w:id="137"/>
    <w:bookmarkStart w:id="1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diesen Werkzeugbereich sollte die offizielle SQLite-Dokumentation als primäre technische Quelle verwendet werden.</w:t>
      </w:r>
    </w:p>
    <w:p>
      <w:pPr>
        <w:pStyle w:val="BodyText"/>
      </w:pPr>
      <w:r>
        <w:t xml:space="preserve">Insbesondere relevant sind:</w:t>
      </w:r>
    </w:p>
    <w:p>
      <w:pPr>
        <w:numPr>
          <w:ilvl w:val="0"/>
          <w:numId w:val="1019"/>
        </w:numPr>
        <w:pStyle w:val="Compact"/>
      </w:pPr>
      <w:r>
        <w:t xml:space="preserve">SQLite Language Reference</w:t>
      </w:r>
    </w:p>
    <w:p>
      <w:pPr>
        <w:numPr>
          <w:ilvl w:val="0"/>
          <w:numId w:val="1019"/>
        </w:numPr>
        <w:pStyle w:val="Compact"/>
      </w:pPr>
      <w:r>
        <w:t xml:space="preserve">SQLite Datatypes</w:t>
      </w:r>
    </w:p>
    <w:p>
      <w:pPr>
        <w:numPr>
          <w:ilvl w:val="0"/>
          <w:numId w:val="1019"/>
        </w:numPr>
        <w:pStyle w:val="Compact"/>
      </w:pPr>
      <w:r>
        <w:t xml:space="preserve">Foreign Key Support</w:t>
      </w:r>
    </w:p>
    <w:p>
      <w:pPr>
        <w:numPr>
          <w:ilvl w:val="0"/>
          <w:numId w:val="1019"/>
        </w:numPr>
        <w:pStyle w:val="Compact"/>
      </w:pPr>
      <w:r>
        <w:t xml:space="preserve">AUTOINCREMENT</w:t>
      </w:r>
    </w:p>
    <w:p>
      <w:pPr>
        <w:numPr>
          <w:ilvl w:val="0"/>
          <w:numId w:val="1019"/>
        </w:numPr>
        <w:pStyle w:val="Compact"/>
      </w:pPr>
      <w:r>
        <w:t xml:space="preserve">Command Line Shell</w:t>
      </w:r>
    </w:p>
    <w:p>
      <w:pPr>
        <w:numPr>
          <w:ilvl w:val="0"/>
          <w:numId w:val="1019"/>
        </w:numPr>
        <w:pStyle w:val="Compact"/>
      </w:pPr>
      <w:r>
        <w:t xml:space="preserve">Backup API</w:t>
      </w:r>
    </w:p>
    <w:p>
      <w:pPr>
        <w:numPr>
          <w:ilvl w:val="0"/>
          <w:numId w:val="1019"/>
        </w:numPr>
        <w:pStyle w:val="Compact"/>
      </w:pPr>
      <w:r>
        <w:t xml:space="preserve">STRICT Tables</w:t>
      </w:r>
    </w:p>
    <w:p>
      <w:pPr>
        <w:pStyle w:val="FirstParagraph"/>
      </w:pPr>
      <w:r>
        <w:t xml:space="preserve">Für DB Browser for SQLite sollte die offizielle Projektdokumentation verwendet werden.</w:t>
      </w:r>
    </w:p>
    <w:p>
      <w:pPr>
        <w:pStyle w:val="BodyText"/>
      </w:pPr>
      <w:r>
        <w:t xml:space="preserve">Die SQL-Grundkonzepte selbst werden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dokumentiert.</w:t>
      </w:r>
    </w:p>
    <w:bookmarkEnd w:id="1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Werkzeuge</dc:title>
  <dc:creator/>
  <dc:language>de-DE</dc:language>
  <cp:keywords/>
  <dcterms:created xsi:type="dcterms:W3CDTF">2026-08-17T05:51:23Z</dcterms:created>
  <dcterms:modified xsi:type="dcterms:W3CDTF">2026-08-17T05:51:23Z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SQLite</vt:lpwstr>
  </property>
  <property fmtid="{D5CDD505-2E9C-101B-9397-08002B2CF9AE}" pid="3" name="toc-title">
    <vt:lpwstr>Inhaltsverzeichnis</vt:lpwstr>
  </property>
</Properties>
</file>