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Unterrichtsmaterial Oberschule Sachsen</w:t>
      </w:r>
    </w:p>
    <w:p>
      <w:pPr>
        <w:pStyle w:val="Subtitle"/>
      </w:pPr>
      <w:r>
        <w:t xml:space="preserve">Unterrichtsmaterial Oberschule Sachsen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4" w:name="wahlbereiche-informatik-klassen-7-bis-10"/>
    <w:p>
      <w:pPr>
        <w:pStyle w:val="Heading1"/>
      </w:pPr>
      <w:r>
        <w:t xml:space="preserve">Wahlbereiche Informatik – Klassen 7 bis 10</w:t>
      </w:r>
    </w:p>
    <w:p>
      <w:pPr>
        <w:pStyle w:val="FirstParagraph"/>
      </w:pPr>
      <w:r>
        <w:t xml:space="preserve">Grundlage: Lehrplan Informatik Oberschule Sachsen 2022.</w:t>
      </w:r>
    </w:p>
    <w:p>
      <w:pPr>
        <w:pStyle w:val="BodyText"/>
      </w:pPr>
      <w:r>
        <w:t xml:space="preserve">Pro Klassenstufe kann ein Lernbereich mit Wahlcharakter im Umfang von etwa zwei Wochen bearbeitet werden.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Klasse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Wahlbereich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Wahlbereich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Wahlbereich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Künstliche Intelligenz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Mobile Endgeräte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Computergrafik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Steuern und Regeln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Mobile Endgeräte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Computergrafik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Informatik und Automatisierung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Mobile Endgeräte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Computergrafik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Sicherheit in der Informationsverarbeitung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Mobile Endgeräte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Computergrafik</w:t>
            </w:r>
          </w:p>
        </w:tc>
      </w:tr>
    </w:tbl>
    <w:bookmarkStart w:id="22" w:name="didaktische-progression"/>
    <w:p>
      <w:pPr>
        <w:pStyle w:val="Heading2"/>
      </w:pPr>
      <w:r>
        <w:t xml:space="preserve">Didaktische Progression</w:t>
      </w:r>
    </w:p>
    <w:bookmarkStart w:id="20" w:name="mobile-endgeräte"/>
    <w:p>
      <w:pPr>
        <w:pStyle w:val="Heading3"/>
      </w:pPr>
      <w:r>
        <w:t xml:space="preserve">Mobile Endgeräte</w:t>
      </w:r>
    </w:p>
    <w:p>
      <w:pPr>
        <w:numPr>
          <w:ilvl w:val="0"/>
          <w:numId w:val="1001"/>
        </w:numPr>
        <w:pStyle w:val="Compact"/>
      </w:pPr>
      <w:r>
        <w:t xml:space="preserve">Kl. 7: Gerät als Informatiksystem, Hard-/Software, Dateien, bewusste Nutzung</w:t>
      </w:r>
    </w:p>
    <w:p>
      <w:pPr>
        <w:numPr>
          <w:ilvl w:val="0"/>
          <w:numId w:val="1001"/>
        </w:numPr>
        <w:pStyle w:val="Compact"/>
      </w:pPr>
      <w:r>
        <w:t xml:space="preserve">Kl. 8: Kopplung technischer Geräte, Smarthome, Bluetooth/WLAN/NFC</w:t>
      </w:r>
    </w:p>
    <w:p>
      <w:pPr>
        <w:numPr>
          <w:ilvl w:val="0"/>
          <w:numId w:val="1001"/>
        </w:numPr>
        <w:pStyle w:val="Compact"/>
      </w:pPr>
      <w:r>
        <w:t xml:space="preserve">Kl. 9: Möglichkeiten und Grenzen, Datenschutz, Rechte, Cookies, Netiquette</w:t>
      </w:r>
    </w:p>
    <w:p>
      <w:pPr>
        <w:numPr>
          <w:ilvl w:val="0"/>
          <w:numId w:val="1001"/>
        </w:numPr>
        <w:pStyle w:val="Compact"/>
      </w:pPr>
      <w:r>
        <w:t xml:space="preserve">Kl. 10: mobile Bezahldienste, Funktionsweise, Sicherheitsmechanismen, Chancen/Risiken</w:t>
      </w:r>
    </w:p>
    <w:bookmarkEnd w:id="20"/>
    <w:bookmarkStart w:id="21" w:name="computergrafik"/>
    <w:p>
      <w:pPr>
        <w:pStyle w:val="Heading3"/>
      </w:pPr>
      <w:r>
        <w:t xml:space="preserve">Computergrafik</w:t>
      </w:r>
    </w:p>
    <w:p>
      <w:pPr>
        <w:numPr>
          <w:ilvl w:val="0"/>
          <w:numId w:val="1002"/>
        </w:numPr>
        <w:pStyle w:val="Compact"/>
      </w:pPr>
      <w:r>
        <w:t xml:space="preserve">Kl. 7: Objektorientierung, Pixel- und Vektorgrafik</w:t>
      </w:r>
    </w:p>
    <w:p>
      <w:pPr>
        <w:numPr>
          <w:ilvl w:val="0"/>
          <w:numId w:val="1002"/>
        </w:numPr>
        <w:pStyle w:val="Compact"/>
      </w:pPr>
      <w:r>
        <w:t xml:space="preserve">Kl. 8: programmierte Vektorgrafik, Muster und Ornamente</w:t>
      </w:r>
    </w:p>
    <w:p>
      <w:pPr>
        <w:numPr>
          <w:ilvl w:val="0"/>
          <w:numId w:val="1002"/>
        </w:numPr>
        <w:pStyle w:val="Compact"/>
      </w:pPr>
      <w:r>
        <w:t xml:space="preserve">Kl. 9: Bildmanipulation, Authentizität und gesellschaftliche Wirkung</w:t>
      </w:r>
    </w:p>
    <w:p>
      <w:pPr>
        <w:numPr>
          <w:ilvl w:val="0"/>
          <w:numId w:val="1002"/>
        </w:numPr>
        <w:pStyle w:val="Compact"/>
      </w:pPr>
      <w:r>
        <w:t xml:space="preserve">Kl. 10: historische Entwicklung, Rechenleistung, Speicher und Datenaustausch</w:t>
      </w:r>
    </w:p>
    <w:bookmarkEnd w:id="21"/>
    <w:bookmarkEnd w:id="22"/>
    <w:bookmarkStart w:id="23" w:name="einsatz"/>
    <w:p>
      <w:pPr>
        <w:pStyle w:val="Heading2"/>
      </w:pPr>
      <w:r>
        <w:t xml:space="preserve">Einsatz</w:t>
      </w:r>
    </w:p>
    <w:p>
      <w:pPr>
        <w:pStyle w:val="FirstParagraph"/>
      </w:pPr>
      <w:r>
        <w:t xml:space="preserve">Die Wahlbereiche sind bewusst kompakt für Einzelstunden aufgebaut und können je nach Lerngruppe auf zwei bis vier Unterrichtsstunden erweitert werden. Sie ergänzen die Pflichtlernbereiche; sie ersetzen diese nicht.</w:t>
      </w:r>
    </w:p>
    <w:bookmarkEnd w:id="23"/>
    <w:bookmarkEnd w:id="24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v0.4.0-322-g516fad1-dirty · Build 17.08.2026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Unterrichtsmaterial Oberschule Sachsen</dc:title>
  <dc:creator/>
  <dc:language>de-DE</dc:language>
  <cp:keywords/>
  <dcterms:created xsi:type="dcterms:W3CDTF">2026-08-17T05:51:19Z</dcterms:created>
  <dcterms:modified xsi:type="dcterms:W3CDTF">2026-08-17T05:51:19Z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Unterrichtsmaterial Oberschule Sachsen</vt:lpwstr>
  </property>
  <property fmtid="{D5CDD505-2E9C-101B-9397-08002B2CF9AE}" pid="3" name="toc-title">
    <vt:lpwstr>Inhaltsverzeichnis</vt:lpwstr>
  </property>
</Properties>
</file>