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2ff5494fe959cbdb960ad1bfe7ae6bb71ed60d"/>
    <w:p>
      <w:pPr>
        <w:pStyle w:val="Heading1"/>
      </w:pPr>
      <w:r>
        <w:t xml:space="preserve">Lösungen – 01 bis 03 Daten, Darstellungen und digitale Medien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numPr>
          <w:ilvl w:val="0"/>
          <w:numId w:val="1001"/>
        </w:numPr>
        <w:pStyle w:val="Compact"/>
      </w:pPr>
      <w:r>
        <w:t xml:space="preserve">Bewegungsablauf → Animation oder Video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p>
      <w:pPr>
        <w:numPr>
          <w:ilvl w:val="0"/>
          <w:numId w:val="1002"/>
        </w:numPr>
        <w:pStyle w:val="Compact"/>
      </w:pPr>
      <w:r>
        <w:t xml:space="preserve">Umfrage online durchführen → browserbasierte Anwendung/Umfragetool</w:t>
      </w:r>
    </w:p>
    <w:p>
      <w:pPr>
        <w:numPr>
          <w:ilvl w:val="0"/>
          <w:numId w:val="1002"/>
        </w:numPr>
        <w:pStyle w:val="Compact"/>
      </w:pPr>
      <w:r>
        <w:t xml:space="preserve">Messwerte als Diagramm darstellen → Tabellenkalkulation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Rechtschreibprüfung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Wörter/Muster vergleichen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Markierung/Vorschlag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Vorschlag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Summe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Zahlenwerte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passende Zellen wählen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Layoutvorlage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Inhalt/Platzhalter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Formatregeln anwenden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gestaltete Folie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Zweck/Zielgruppe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Kriterium ordnen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sortierte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Sortierkriterium wählen</w:t>
            </w:r>
          </w:p>
        </w:tc>
      </w:tr>
    </w:tbl>
    <w:p>
      <w:pPr>
        <w:pStyle w:val="BodyText"/>
      </w:pPr>
      <w:r>
        <w:t xml:space="preserve">Die Software übernimmt Arbeitsschritte, entscheidet aber nicht automatisch, ob das Ergebnis inhaltlich richtig und sinnvoll ist.</w:t>
      </w:r>
    </w:p>
    <w:bookmarkEnd w:id="24"/>
    <w:bookmarkStart w:id="25" w:name="medien-kritisch-prüfen"/>
    <w:p>
      <w:pPr>
        <w:pStyle w:val="Heading2"/>
      </w:pPr>
      <w:r>
        <w:t xml:space="preserve">Medien kritisch prüfen</w:t>
      </w:r>
    </w:p>
    <w:p>
      <w:pPr>
        <w:pStyle w:val="FirstParagraph"/>
      </w:pPr>
      <w:r>
        <w:t xml:space="preserve">Vor dem Weiterleiten prüfen:</w:t>
      </w:r>
    </w:p>
    <w:p>
      <w:pPr>
        <w:numPr>
          <w:ilvl w:val="0"/>
          <w:numId w:val="1003"/>
        </w:numPr>
        <w:pStyle w:val="Compact"/>
      </w:pPr>
      <w:r>
        <w:t xml:space="preserve">Quelle und Urheber nachvollziehbar?</w:t>
      </w:r>
    </w:p>
    <w:p>
      <w:pPr>
        <w:numPr>
          <w:ilvl w:val="0"/>
          <w:numId w:val="1003"/>
        </w:numPr>
        <w:pStyle w:val="Compact"/>
      </w:pPr>
      <w:r>
        <w:t xml:space="preserve">Datum, Ort und Kontext erkennbar?</w:t>
      </w:r>
    </w:p>
    <w:p>
      <w:pPr>
        <w:numPr>
          <w:ilvl w:val="0"/>
          <w:numId w:val="1003"/>
        </w:numPr>
        <w:pStyle w:val="Compact"/>
      </w:pPr>
      <w:r>
        <w:t xml:space="preserve">Gibt es unabhängige Bestätigung?</w:t>
      </w:r>
    </w:p>
    <w:p>
      <w:pPr>
        <w:numPr>
          <w:ilvl w:val="0"/>
          <w:numId w:val="1003"/>
        </w:numPr>
        <w:pStyle w:val="Compact"/>
      </w:pPr>
      <w:r>
        <w:t xml:space="preserve">Könnten Bild, Ton, Ausschnitt oder Beschreibung manipuliert sein?</w:t>
      </w:r>
    </w:p>
    <w:p>
      <w:pPr>
        <w:numPr>
          <w:ilvl w:val="0"/>
          <w:numId w:val="1003"/>
        </w:numPr>
        <w:pStyle w:val="Compact"/>
      </w:pPr>
      <w:r>
        <w:t xml:space="preserve">Werden Personenrechte oder Datenschutz verletzt?</w:t>
      </w:r>
    </w:p>
    <w:p>
      <w:pPr>
        <w:pStyle w:val="FirstParagraph"/>
      </w:pPr>
      <w:r>
        <w:t xml:space="preserve">Bei Unsicherheit nicht weiterverbreiten und ggf. Lehrkraft oder verantwortliche Stelle informieren.</w:t>
      </w:r>
    </w:p>
    <w:p>
      <w:r>
        <w:br w:type="page"/>
      </w:r>
    </w:p>
    <w:bookmarkEnd w:id="25"/>
    <w:bookmarkEnd w:id="26"/>
    <w:bookmarkStart w:id="39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7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4"/>
        </w:numPr>
        <w:pStyle w:val="Compact"/>
      </w:pPr>
      <w:r>
        <w:t xml:space="preserve">Klasse:</w:t>
      </w:r>
      <w:r>
        <w:t xml:space="preserve"> </w:t>
      </w:r>
      <w:r>
        <w:rPr>
          <w:rStyle w:val="VerbatimChar"/>
        </w:rPr>
        <w:t xml:space="preserve">Bild</w:t>
      </w:r>
    </w:p>
    <w:p>
      <w:pPr>
        <w:numPr>
          <w:ilvl w:val="0"/>
          <w:numId w:val="1004"/>
        </w:numPr>
        <w:pStyle w:val="Compact"/>
      </w:pPr>
      <w:r>
        <w:t xml:space="preserve">Objekt: konkretes Bild in der Präsentation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numPr>
          <w:ilvl w:val="0"/>
          <w:numId w:val="1004"/>
        </w:numPr>
        <w:pStyle w:val="Compact"/>
      </w:pPr>
      <w:r>
        <w:t xml:space="preserve">mögliche Methode: drehen, skalieren, zuschneiden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7"/>
    <w:bookmarkStart w:id="28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Farbe</w:t>
      </w:r>
    </w:p>
    <w:p>
      <w:pPr>
        <w:numPr>
          <w:ilvl w:val="0"/>
          <w:numId w:val="1005"/>
        </w:numPr>
        <w:pStyle w:val="Compact"/>
      </w:pPr>
      <w:r>
        <w:t xml:space="preserve">Gangzahl</w:t>
      </w:r>
    </w:p>
    <w:p>
      <w:pPr>
        <w:numPr>
          <w:ilvl w:val="0"/>
          <w:numId w:val="1005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 Wenn ein konkretes Fahrrad neu lackiert wird, ändert sich der Attributwert dieses Objekts.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bleibt als Bauplan gleich.</w:t>
      </w:r>
    </w:p>
    <w:bookmarkEnd w:id="28"/>
    <w:bookmarkStart w:id="29" w:name="objektzustand-oder-objektverwaltung"/>
    <w:p>
      <w:pPr>
        <w:pStyle w:val="Heading2"/>
      </w:pPr>
      <w:r>
        <w:t xml:space="preserve">Objektzustand oder Objektverwaltung</w:t>
      </w:r>
    </w:p>
    <w:p>
      <w:pPr>
        <w:pStyle w:val="FirstParagraph"/>
      </w:pPr>
      <w:r>
        <w:t xml:space="preserve">Attributwert ändern: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Farbe eines Textfelds ändern</w:t>
      </w:r>
    </w:p>
    <w:p>
      <w:pPr>
        <w:pStyle w:val="FirstParagraph"/>
      </w:pPr>
      <w:r>
        <w:t xml:space="preserve">Objekte verwalten: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bookmarkEnd w:id="29"/>
    <w:bookmarkStart w:id="30" w:name="inhaltsdaten-und-metadaten"/>
    <w:p>
      <w:pPr>
        <w:pStyle w:val="Heading2"/>
      </w:pPr>
      <w:r>
        <w:t xml:space="preserve">Inhaltsdaten und Metadaten</w:t>
      </w:r>
    </w:p>
    <w:p>
      <w:pPr>
        <w:numPr>
          <w:ilvl w:val="0"/>
          <w:numId w:val="1008"/>
        </w:numPr>
        <w:pStyle w:val="Compact"/>
      </w:pPr>
      <w:r>
        <w:t xml:space="preserve">sichtbare Personen → Inhaltsdaten, weil sie im Bild sichtbar sind</w:t>
      </w:r>
    </w:p>
    <w:p>
      <w:pPr>
        <w:numPr>
          <w:ilvl w:val="0"/>
          <w:numId w:val="1008"/>
        </w:numPr>
        <w:pStyle w:val="Compact"/>
      </w:pPr>
      <w:r>
        <w:t xml:space="preserve">Aufnahmedatum → Metadatum, Zusatzinformation zur Datei</w:t>
      </w:r>
    </w:p>
    <w:p>
      <w:pPr>
        <w:numPr>
          <w:ilvl w:val="0"/>
          <w:numId w:val="1008"/>
        </w:numPr>
        <w:pStyle w:val="Compact"/>
      </w:pPr>
      <w:r>
        <w:t xml:space="preserve">Dateigröße → Metadatum, technische Zusatzinformation</w:t>
      </w:r>
    </w:p>
    <w:p>
      <w:pPr>
        <w:numPr>
          <w:ilvl w:val="0"/>
          <w:numId w:val="1008"/>
        </w:numPr>
        <w:pStyle w:val="Compact"/>
      </w:pPr>
      <w:r>
        <w:t xml:space="preserve">sichtbarer Text auf einem Schild → Inhaltsdaten</w:t>
      </w:r>
    </w:p>
    <w:p>
      <w:pPr>
        <w:numPr>
          <w:ilvl w:val="0"/>
          <w:numId w:val="1008"/>
        </w:numPr>
        <w:pStyle w:val="Compact"/>
      </w:pPr>
      <w:r>
        <w:t xml:space="preserve">Aufnahmeort → Metadatum, sofern als Zusatzinformation gespeichert</w:t>
      </w:r>
    </w:p>
    <w:bookmarkEnd w:id="30"/>
    <w:bookmarkStart w:id="31" w:name="dokumentenschutz"/>
    <w:p>
      <w:pPr>
        <w:pStyle w:val="Heading2"/>
      </w:pPr>
      <w:r>
        <w:t xml:space="preserve">Dokumentenschutz</w:t>
      </w:r>
    </w:p>
    <w:p>
      <w:pPr>
        <w:pStyle w:val="FirstParagraph"/>
      </w:pPr>
      <w:r>
        <w:t xml:space="preserve">Mögliche Zuordnungen:</w:t>
      </w:r>
    </w:p>
    <w:p>
      <w:pPr>
        <w:numPr>
          <w:ilvl w:val="0"/>
          <w:numId w:val="1009"/>
        </w:numPr>
        <w:pStyle w:val="Compact"/>
      </w:pPr>
      <w:r>
        <w:t xml:space="preserve">nur Lesen erlauben → schützt vor versehentlicher Änderung</w:t>
      </w:r>
    </w:p>
    <w:p>
      <w:pPr>
        <w:numPr>
          <w:ilvl w:val="0"/>
          <w:numId w:val="1009"/>
        </w:numPr>
        <w:pStyle w:val="Compact"/>
      </w:pPr>
      <w:r>
        <w:t xml:space="preserve">Freigabe nur für bestimmte Personen → schützt vor ungewolltem Zugriff</w:t>
      </w:r>
    </w:p>
    <w:p>
      <w:pPr>
        <w:numPr>
          <w:ilvl w:val="0"/>
          <w:numId w:val="1009"/>
        </w:numPr>
        <w:pStyle w:val="Compact"/>
      </w:pPr>
      <w:r>
        <w:t xml:space="preserve">regelmäßiges Backup → schützt vor Datenverlust</w:t>
      </w:r>
    </w:p>
    <w:p>
      <w:pPr>
        <w:numPr>
          <w:ilvl w:val="0"/>
          <w:numId w:val="1009"/>
        </w:numPr>
        <w:pStyle w:val="Compact"/>
      </w:pPr>
      <w:r>
        <w:t xml:space="preserve">Versionierung → schützt vor Verwechslung oder Überschreiben</w:t>
      </w:r>
    </w:p>
    <w:p>
      <w:pPr>
        <w:numPr>
          <w:ilvl w:val="0"/>
          <w:numId w:val="1009"/>
        </w:numPr>
        <w:pStyle w:val="Compact"/>
      </w:pPr>
      <w:r>
        <w:t xml:space="preserve">persönliche Daten entfernen → schützt Datenschutz und Persönlichkeitsrechte</w:t>
      </w:r>
    </w:p>
    <w:bookmarkEnd w:id="31"/>
    <w:bookmarkStart w:id="38" w:name="datenrechte-und-medienkritik"/>
    <w:p>
      <w:pPr>
        <w:pStyle w:val="Heading2"/>
      </w:pPr>
      <w:r>
        <w:t xml:space="preserve">Datenrechte und Medienkritik</w:t>
      </w:r>
    </w:p>
    <w:bookmarkStart w:id="32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32"/>
    <w:bookmarkStart w:id="33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33"/>
    <w:bookmarkStart w:id="34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Standort einer anderen Person nicht ohne deren Zustimmung weitergeben.</w:t>
      </w:r>
    </w:p>
    <w:bookmarkEnd w:id="34"/>
    <w:bookmarkStart w:id="35" w:name="freie-lizenz"/>
    <w:p>
      <w:pPr>
        <w:pStyle w:val="Heading3"/>
      </w:pPr>
      <w:r>
        <w:t xml:space="preserve">Freie Lizenz</w:t>
      </w:r>
    </w:p>
    <w:p>
      <w:pPr>
        <w:pStyle w:val="FirstParagraph"/>
      </w:pPr>
      <w:r>
        <w:t xml:space="preserve">Bei zulässiger freier Lizenz die Lizenzbedingungen und Quellenangabe beachten.</w:t>
      </w:r>
    </w:p>
    <w:bookmarkEnd w:id="35"/>
    <w:bookmarkStart w:id="36" w:name="ki-generierter-text"/>
    <w:p>
      <w:pPr>
        <w:pStyle w:val="Heading3"/>
      </w:pPr>
      <w:r>
        <w:t xml:space="preserve">KI-generierter Text</w:t>
      </w:r>
    </w:p>
    <w:p>
      <w:pPr>
        <w:pStyle w:val="FirstParagraph"/>
      </w:pPr>
      <w:r>
        <w:t xml:space="preserve">Nicht als eigene Leistung ausgeben, wenn dies nicht erlaubt oder nicht gekennzeichnet ist. Vorgaben der Aufgabe und Quellen-/Hilfsmittelangabe beachten.</w:t>
      </w:r>
    </w:p>
    <w:bookmarkEnd w:id="36"/>
    <w:bookmarkStart w:id="37" w:name="manipulierter-bildausschnitt"/>
    <w:p>
      <w:pPr>
        <w:pStyle w:val="Heading3"/>
      </w:pPr>
      <w:r>
        <w:t xml:space="preserve">Manipulierter Bildausschnitt</w:t>
      </w:r>
    </w:p>
    <w:p>
      <w:pPr>
        <w:pStyle w:val="FirstParagraph"/>
      </w:pPr>
      <w:r>
        <w:t xml:space="preserve">Ausschnitte können falsche Eindrücke erzeugen. Kontext, Quelle und ggf. Original prüfen, bevor Inhalte bewertet oder weitergegeben werden.</w:t>
      </w:r>
    </w:p>
    <w:bookmarkEnd w:id="37"/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2026-08-18T10:12:03Z</dcterms:created>
  <dcterms:modified xsi:type="dcterms:W3CDTF">2026-08-18T10:12:03Z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