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steuern-und-regeln"/>
    <w:p>
      <w:pPr>
        <w:pStyle w:val="Heading1"/>
      </w:pPr>
      <w:r>
        <w:t xml:space="preserve">Lehrerhinweise – Steuern und Regeln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Kernidee: Sensor → Verarbeitung → Aktor; bei der Regelung wird der veränderte Zustand erneut erfasst.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Alltagsbeispiele → Sensor/Aktor sichern → Steuerung/Regelung unterscheiden → Heizungs-Regelkreis → Beleuchtungsalgorithmus testen.</w:t>
      </w:r>
    </w:p>
    <w:bookmarkEnd w:id="20"/>
    <w:bookmarkStart w:id="21" w:name="fehlvorstellungen"/>
    <w:p>
      <w:pPr>
        <w:pStyle w:val="Heading2"/>
      </w:pPr>
      <w:r>
        <w:t xml:space="preserve">Fehlvorstellungen</w:t>
      </w:r>
    </w:p>
    <w:p>
      <w:pPr>
        <w:pStyle w:val="FirstParagraph"/>
      </w:pPr>
      <w:r>
        <w:t xml:space="preserve">Sensor/Aktor werden verwechselt; jede Automatik wird als Regelung bezeichnet; Grenzwerte werden ohne Verhalten am Schwellwert betrachtet.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vorgegebenen Ablauf beschriften. Erweiterung: Hysterese mit zwei Grenzwerten begründen und eigenes System entwickeln.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2026-08-18T10:14:36Z</dcterms:created>
  <dcterms:modified xsi:type="dcterms:W3CDTF">2026-08-18T10:14:36Z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