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9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computergrafik-lösungen"/>
    <w:p>
      <w:pPr>
        <w:pStyle w:val="Heading1"/>
      </w:pPr>
      <w:r>
        <w:t xml:space="preserve">Computergrafik – Lösungen</w:t>
      </w:r>
    </w:p>
    <w:bookmarkStart w:id="20" w:name="section"/>
    <w:p>
      <w:pPr>
        <w:pStyle w:val="Heading2"/>
      </w:pPr>
      <w:r>
        <w:t xml:space="preserve">1</w:t>
      </w:r>
    </w:p>
    <w:p>
      <w:pPr>
        <w:pStyle w:val="FirstParagraph"/>
      </w:pPr>
      <w:r>
        <w:t xml:space="preserve">Typisch: Foto und digitales Gemälde als Rastergrafik; Logo, Piktogramm und viele Diagramme als Vektorgrafik. Mischformen sind möglich, daher zählt die Begründung.</w:t>
      </w:r>
    </w:p>
    <w:bookmarkEnd w:id="20"/>
    <w:bookmarkStart w:id="21" w:name="section-1"/>
    <w:p>
      <w:pPr>
        <w:pStyle w:val="Heading2"/>
      </w:pPr>
      <w:r>
        <w:t xml:space="preserve">2</w:t>
      </w:r>
    </w:p>
    <w:p>
      <w:pPr>
        <w:pStyle w:val="FirstParagraph"/>
      </w:pPr>
      <w:r>
        <w:t xml:space="preserve">Rastergrafiken speichern ein Raster einzelner Pixel. Bei starker Vergrößerung werden diese Bildpunkte sichtbar bzw. müssen interpoliert werden; neue echte Bilddetails entstehen dadurch nicht.</w:t>
      </w:r>
    </w:p>
    <w:bookmarkEnd w:id="21"/>
    <w:bookmarkStart w:id="22" w:name="section-2"/>
    <w:p>
      <w:pPr>
        <w:pStyle w:val="Heading2"/>
      </w:pPr>
      <w:r>
        <w:t xml:space="preserve">3</w:t>
      </w:r>
    </w:p>
    <w:p>
      <w:pPr>
        <w:pStyle w:val="FirstParagraph"/>
      </w:pPr>
      <w:r>
        <w:t xml:space="preserve">Vektorgrafiken speichern geometrische Formen und ihre Eigenschaften. Beim Skalieren werden diese Formen für die gewünschte Ausgabegröße neu berechnet.</w:t>
      </w:r>
    </w:p>
    <w:bookmarkEnd w:id="22"/>
    <w:bookmarkStart w:id="23" w:name="section-3"/>
    <w:p>
      <w:pPr>
        <w:pStyle w:val="Heading2"/>
      </w:pPr>
      <w:r>
        <w:t xml:space="preserve">4</w:t>
      </w:r>
    </w:p>
    <w:p>
      <w:pPr>
        <w:pStyle w:val="FirstParagraph"/>
      </w:pPr>
      <w:r>
        <w:t xml:space="preserve">RGB steht für Rot, Grün und Blau. Unterschiedliche Intensitäten dieser Lichtanteile erzeugen die dargestellten Farben.</w:t>
      </w:r>
    </w:p>
    <w:bookmarkEnd w:id="23"/>
    <w:bookmarkStart w:id="24" w:name="section-4"/>
    <w:p>
      <w:pPr>
        <w:pStyle w:val="Heading2"/>
      </w:pP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t xml:space="preserve">Foto: häufig JPEG/JPG</w:t>
      </w:r>
    </w:p>
    <w:p>
      <w:pPr>
        <w:numPr>
          <w:ilvl w:val="0"/>
          <w:numId w:val="1001"/>
        </w:numPr>
        <w:pStyle w:val="Compact"/>
      </w:pPr>
      <w:r>
        <w:t xml:space="preserve">transparentes Raster-Symbol: PNG</w:t>
      </w:r>
    </w:p>
    <w:p>
      <w:pPr>
        <w:numPr>
          <w:ilvl w:val="0"/>
          <w:numId w:val="1001"/>
        </w:numPr>
        <w:pStyle w:val="Compact"/>
      </w:pPr>
      <w:r>
        <w:t xml:space="preserve">skalierbares Logo: SVG</w:t>
      </w:r>
    </w:p>
    <w:bookmarkEnd w:id="24"/>
    <w:bookmarkStart w:id="25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Schullogo: SVG, wenn es aus geeigneten geometrischen Formen besteht und in vielen Größen benötigt wird. Klassenfoto: Rasterformat, häufig JPEG, da Fotos sehr viele kontinuierliche Farb- und Helligkeitsabstufungen enthalten.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2026-08-18T10:16:27Z</dcterms:created>
  <dcterms:modified xsi:type="dcterms:W3CDTF">2026-08-18T10:16:27Z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Loesungen</vt:lpwstr>
  </property>
  <property fmtid="{D5CDD505-2E9C-101B-9397-08002B2CF9AE}" pid="3" name="toc-title">
    <vt:lpwstr>Inhaltsverzeichnis</vt:lpwstr>
  </property>
</Properties>
</file>