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99" w:name="Xdba697b7f5d3dabdf54b35ace02fda93ef468a2"/>
    <w:p>
      <w:pPr>
        <w:pStyle w:val="Heading1"/>
      </w:pPr>
      <w:r>
        <w:t xml:space="preserve">Material M15–17 – Informatiksysteme und Dateien</w:t>
      </w:r>
    </w:p>
    <w:bookmarkStart w:id="94" w:name="a-hardware-oder-software"/>
    <w:p>
      <w:pPr>
        <w:pStyle w:val="Heading2"/>
      </w:pPr>
      <w:r>
        <w:t xml:space="preserve">A – Hardware oder Software?</w:t>
      </w:r>
    </w:p>
    <w:p>
      <w:pPr>
        <w:pStyle w:val="FirstParagraph"/>
      </w:pPr>
      <w:r>
        <w:t xml:space="preserve">Ordne zu:</w:t>
      </w:r>
    </w:p>
    <w:p>
      <w:pPr>
        <w:numPr>
          <w:ilvl w:val="0"/>
          <w:numId w:val="1030"/>
        </w:numPr>
        <w:pStyle w:val="Compact"/>
      </w:pPr>
      <w:r>
        <w:t xml:space="preserve">SSD</w:t>
      </w:r>
    </w:p>
    <w:p>
      <w:pPr>
        <w:numPr>
          <w:ilvl w:val="0"/>
          <w:numId w:val="1030"/>
        </w:numPr>
        <w:pStyle w:val="Compact"/>
      </w:pPr>
      <w:r>
        <w:t xml:space="preserve">Browser</w:t>
      </w:r>
    </w:p>
    <w:p>
      <w:pPr>
        <w:numPr>
          <w:ilvl w:val="0"/>
          <w:numId w:val="1030"/>
        </w:numPr>
        <w:pStyle w:val="Compact"/>
      </w:pPr>
      <w:r>
        <w:t xml:space="preserve">Betriebssystem</w:t>
      </w:r>
    </w:p>
    <w:p>
      <w:pPr>
        <w:numPr>
          <w:ilvl w:val="0"/>
          <w:numId w:val="1030"/>
        </w:numPr>
        <w:pStyle w:val="Compact"/>
      </w:pPr>
      <w:r>
        <w:t xml:space="preserve">Mikrofon</w:t>
      </w:r>
    </w:p>
    <w:p>
      <w:pPr>
        <w:numPr>
          <w:ilvl w:val="0"/>
          <w:numId w:val="1030"/>
        </w:numPr>
        <w:pStyle w:val="Compact"/>
      </w:pPr>
      <w:r>
        <w:t xml:space="preserve">RAM</w:t>
      </w:r>
    </w:p>
    <w:p>
      <w:pPr>
        <w:numPr>
          <w:ilvl w:val="0"/>
          <w:numId w:val="1030"/>
        </w:numPr>
        <w:pStyle w:val="Compact"/>
      </w:pPr>
      <w:r>
        <w:t xml:space="preserve">Textverarbeitung</w:t>
      </w:r>
    </w:p>
    <w:p>
      <w:pPr>
        <w:numPr>
          <w:ilvl w:val="0"/>
          <w:numId w:val="1030"/>
        </w:numPr>
        <w:pStyle w:val="Compact"/>
      </w:pPr>
      <w:r>
        <w:t xml:space="preserve">Prozessor</w:t>
      </w:r>
    </w:p>
    <w:p>
      <w:pPr>
        <w:numPr>
          <w:ilvl w:val="0"/>
          <w:numId w:val="1030"/>
        </w:numPr>
        <w:pStyle w:val="Compact"/>
      </w:pPr>
      <w:r>
        <w:t xml:space="preserve">Präsentationsprogramm</w:t>
      </w:r>
    </w:p>
    <w:bookmarkEnd w:id="94"/>
    <w:bookmarkStart w:id="95" w:name="b-speicher-auswählen"/>
    <w:p>
      <w:pPr>
        <w:pStyle w:val="Heading2"/>
      </w:pPr>
      <w:r>
        <w:t xml:space="preserve">B – Speicher auswählen</w:t>
      </w:r>
    </w:p>
    <w:p>
      <w:pPr>
        <w:pStyle w:val="FirstParagraph"/>
      </w:pPr>
      <w:r>
        <w:t xml:space="preserve">Wähle einen geeigneten Speicher und begründe:</w:t>
      </w:r>
    </w:p>
    <w:p>
      <w:pPr>
        <w:numPr>
          <w:ilvl w:val="0"/>
          <w:numId w:val="1031"/>
        </w:numPr>
        <w:pStyle w:val="Compact"/>
      </w:pPr>
      <w:r>
        <w:t xml:space="preserve">Datei während einer laufenden Berechnung sehr schnell bereithalten</w:t>
      </w:r>
    </w:p>
    <w:p>
      <w:pPr>
        <w:numPr>
          <w:ilvl w:val="0"/>
          <w:numId w:val="1031"/>
        </w:numPr>
        <w:pStyle w:val="Compact"/>
      </w:pPr>
      <w:r>
        <w:t xml:space="preserve">Fotos dauerhaft auf dem Smartphone speichern</w:t>
      </w:r>
    </w:p>
    <w:p>
      <w:pPr>
        <w:numPr>
          <w:ilvl w:val="0"/>
          <w:numId w:val="1031"/>
        </w:numPr>
        <w:pStyle w:val="Compact"/>
      </w:pPr>
      <w:r>
        <w:t xml:space="preserve">gemeinsam an einem Dokument arbeiten</w:t>
      </w:r>
    </w:p>
    <w:p>
      <w:pPr>
        <w:numPr>
          <w:ilvl w:val="0"/>
          <w:numId w:val="1031"/>
        </w:numPr>
        <w:pStyle w:val="Compact"/>
      </w:pPr>
      <w:r>
        <w:t xml:space="preserve">wichtige Schuldokumente zusätzlich sichern</w:t>
      </w:r>
    </w:p>
    <w:bookmarkEnd w:id="95"/>
    <w:bookmarkStart w:id="96" w:name="c-größenordnungen"/>
    <w:p>
      <w:pPr>
        <w:pStyle w:val="Heading2"/>
      </w:pPr>
      <w:r>
        <w:t xml:space="preserve">C – Größenordnungen</w:t>
      </w:r>
    </w:p>
    <w:p>
      <w:pPr>
        <w:numPr>
          <w:ilvl w:val="0"/>
          <w:numId w:val="1032"/>
        </w:numPr>
        <w:pStyle w:val="Compact"/>
      </w:pPr>
      <w:r>
        <w:t xml:space="preserve">16 Byte = ______ Bit</w:t>
      </w:r>
    </w:p>
    <w:p>
      <w:pPr>
        <w:numPr>
          <w:ilvl w:val="0"/>
          <w:numId w:val="1032"/>
        </w:numPr>
        <w:pStyle w:val="Compact"/>
      </w:pPr>
      <w:r>
        <w:t xml:space="preserve">4 KB, 8 MB, 2 GB, 900 KB – sortiere aufsteigend.</w:t>
      </w:r>
    </w:p>
    <w:p>
      <w:pPr>
        <w:numPr>
          <w:ilvl w:val="0"/>
          <w:numId w:val="1032"/>
        </w:numPr>
        <w:pStyle w:val="Compact"/>
      </w:pPr>
      <w:r>
        <w:t xml:space="preserve">Welche Größenordnung erwartest du ungefähr für Textdatei, Foto und Video? Begründe ohne exakte Werte.</w:t>
      </w:r>
    </w:p>
    <w:bookmarkEnd w:id="96"/>
    <w:bookmarkStart w:id="97"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97"/>
    <w:bookmarkStart w:id="98"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p>
      <w:r>
        <w:br w:type="page"/>
      </w:r>
    </w:p>
    <w:bookmarkEnd w:id="98"/>
    <w:bookmarkEnd w:id="99"/>
    <w:bookmarkStart w:id="104" w:name="Xef77e7ffc336927c51945624b7d0607e5bd298a"/>
    <w:p>
      <w:pPr>
        <w:pStyle w:val="Heading1"/>
      </w:pPr>
      <w:r>
        <w:t xml:space="preserve">M07 – Systembereitschaft und Dateioperationen</w:t>
      </w:r>
    </w:p>
    <w:bookmarkStart w:id="100" w:name="auftrag-a-system-bereit-machen"/>
    <w:p>
      <w:pPr>
        <w:pStyle w:val="Heading2"/>
      </w:pPr>
      <w:r>
        <w:t xml:space="preserve">Auftrag A – System bereit machen</w:t>
      </w:r>
    </w:p>
    <w:p>
      <w:pPr>
        <w:pStyle w:val="FirstParagraph"/>
      </w:pPr>
      <w:r>
        <w:t xml:space="preserve">Arbeite an einem Schul-PC oder einem vergleichbaren Übungsgerät. Dokumentiere kurz:</w:t>
      </w:r>
    </w:p>
    <w:p>
      <w:pPr>
        <w:numPr>
          <w:ilvl w:val="0"/>
          <w:numId w:val="1033"/>
        </w:numPr>
        <w:pStyle w:val="Compact"/>
      </w:pPr>
      <w:r>
        <w:t xml:space="preserve">Gerät einschalten oder Sitzung starten.</w:t>
      </w:r>
    </w:p>
    <w:p>
      <w:pPr>
        <w:numPr>
          <w:ilvl w:val="0"/>
          <w:numId w:val="1033"/>
        </w:numPr>
        <w:pStyle w:val="Compact"/>
      </w:pPr>
      <w:r>
        <w:t xml:space="preserve">Anmeldung durchführen.</w:t>
      </w:r>
    </w:p>
    <w:p>
      <w:pPr>
        <w:numPr>
          <w:ilvl w:val="0"/>
          <w:numId w:val="1033"/>
        </w:numPr>
        <w:pStyle w:val="Compact"/>
      </w:pPr>
      <w:r>
        <w:t xml:space="preserve">Verbindung zum Schulnetz, Netzlaufwerk oder zur Lernplattform prüfen.</w:t>
      </w:r>
    </w:p>
    <w:p>
      <w:pPr>
        <w:numPr>
          <w:ilvl w:val="0"/>
          <w:numId w:val="1033"/>
        </w:numPr>
        <w:pStyle w:val="Compact"/>
      </w:pPr>
      <w:r>
        <w:t xml:space="preserve">Benötigte Anwendung öffnen.</w:t>
      </w:r>
    </w:p>
    <w:p>
      <w:pPr>
        <w:numPr>
          <w:ilvl w:val="0"/>
          <w:numId w:val="1033"/>
        </w:numPr>
        <w:pStyle w:val="Compact"/>
      </w:pPr>
      <w:r>
        <w:t xml:space="preserve">Eine vorgegebene Datei öffnen.</w:t>
      </w:r>
    </w:p>
    <w:p>
      <w:pPr>
        <w:numPr>
          <w:ilvl w:val="0"/>
          <w:numId w:val="1033"/>
        </w:numPr>
        <w:pStyle w:val="Compact"/>
      </w:pPr>
      <w:r>
        <w:t xml:space="preserve">Eine Kopie unter sinnvollem Namen speichern.</w:t>
      </w:r>
    </w:p>
    <w:bookmarkEnd w:id="100"/>
    <w:bookmarkStart w:id="101" w:name="auftrag-b-meldungen-nicht-wegklicken"/>
    <w:p>
      <w:pPr>
        <w:pStyle w:val="Heading2"/>
      </w:pPr>
      <w:r>
        <w:t xml:space="preserve">Auftrag B – Meldungen nicht wegklicken</w:t>
      </w:r>
    </w:p>
    <w:p>
      <w:pPr>
        <w:pStyle w:val="FirstParagraph"/>
      </w:pPr>
      <w:r>
        <w:t xml:space="preserve">Lies die Meldung und entscheide, was sinnvoll 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Meldung</w:t>
            </w:r>
          </w:p>
        </w:tc>
        <w:tc>
          <w:tcPr/>
          <w:p>
            <w:pPr>
              <w:pStyle w:val="Compact"/>
              <w:jc w:val="left"/>
            </w:pPr>
            <w:r>
              <w:t xml:space="preserve">Was könnte die Ursache sein?</w:t>
            </w:r>
          </w:p>
        </w:tc>
        <w:tc>
          <w:tcPr/>
          <w:p>
            <w:pPr>
              <w:pStyle w:val="Compact"/>
              <w:jc w:val="left"/>
            </w:pPr>
            <w:r>
              <w:t xml:space="preserve">Sinnvolle Reaktion</w:t>
            </w:r>
          </w:p>
        </w:tc>
      </w:tr>
      <w:tr>
        <w:tc>
          <w:tcPr/>
          <w:p>
            <w:pPr>
              <w:pStyle w:val="Compact"/>
              <w:jc w:val="left"/>
            </w:pPr>
            <w:r>
              <w:t xml:space="preserve">Falsches Passwort</w:t>
            </w:r>
          </w:p>
        </w:tc>
        <w:tc>
          <w:tcPr/>
          <w:p>
            <w:pPr>
              <w:pStyle w:val="Compact"/>
            </w:pPr>
          </w:p>
        </w:tc>
        <w:tc>
          <w:tcPr/>
          <w:p>
            <w:pPr>
              <w:pStyle w:val="Compact"/>
            </w:pPr>
          </w:p>
        </w:tc>
      </w:tr>
      <w:tr>
        <w:tc>
          <w:tcPr/>
          <w:p>
            <w:pPr>
              <w:pStyle w:val="Compact"/>
              <w:jc w:val="left"/>
            </w:pPr>
            <w:r>
              <w:t xml:space="preserve">Keine Netzwerkverbindung</w:t>
            </w:r>
          </w:p>
        </w:tc>
        <w:tc>
          <w:tcPr/>
          <w:p>
            <w:pPr>
              <w:pStyle w:val="Compact"/>
            </w:pPr>
          </w:p>
        </w:tc>
        <w:tc>
          <w:tcPr/>
          <w:p>
            <w:pPr>
              <w:pStyle w:val="Compact"/>
            </w:pPr>
          </w:p>
        </w:tc>
      </w:tr>
      <w:tr>
        <w:tc>
          <w:tcPr/>
          <w:p>
            <w:pPr>
              <w:pStyle w:val="Compact"/>
              <w:jc w:val="left"/>
            </w:pPr>
            <w:r>
              <w:t xml:space="preserve">Datei ist schreibgeschützt</w:t>
            </w:r>
          </w:p>
        </w:tc>
        <w:tc>
          <w:tcPr/>
          <w:p>
            <w:pPr>
              <w:pStyle w:val="Compact"/>
            </w:pPr>
          </w:p>
        </w:tc>
        <w:tc>
          <w:tcPr/>
          <w:p>
            <w:pPr>
              <w:pStyle w:val="Compact"/>
            </w:pPr>
          </w:p>
        </w:tc>
      </w:tr>
      <w:tr>
        <w:tc>
          <w:tcPr/>
          <w:p>
            <w:pPr>
              <w:pStyle w:val="Compact"/>
              <w:jc w:val="left"/>
            </w:pPr>
            <w:r>
              <w:t xml:space="preserve">Keine Berechtigung zum Speichern</w:t>
            </w:r>
          </w:p>
        </w:tc>
        <w:tc>
          <w:tcPr/>
          <w:p>
            <w:pPr>
              <w:pStyle w:val="Compact"/>
            </w:pPr>
          </w:p>
        </w:tc>
        <w:tc>
          <w:tcPr/>
          <w:p>
            <w:pPr>
              <w:pStyle w:val="Compact"/>
            </w:pPr>
          </w:p>
        </w:tc>
      </w:tr>
      <w:tr>
        <w:tc>
          <w:tcPr/>
          <w:p>
            <w:pPr>
              <w:pStyle w:val="Compact"/>
              <w:jc w:val="left"/>
            </w:pPr>
            <w:r>
              <w:t xml:space="preserve">Datei mit diesem Namen existiert bereits</w:t>
            </w:r>
          </w:p>
        </w:tc>
        <w:tc>
          <w:tcPr/>
          <w:p>
            <w:pPr>
              <w:pStyle w:val="Compact"/>
            </w:pPr>
          </w:p>
        </w:tc>
        <w:tc>
          <w:tcPr/>
          <w:p>
            <w:pPr>
              <w:pStyle w:val="Compact"/>
            </w:pPr>
          </w:p>
        </w:tc>
      </w:tr>
    </w:tbl>
    <w:bookmarkEnd w:id="101"/>
    <w:bookmarkStart w:id="102" w:name="auftrag-c-kopieren-oder-verschieben"/>
    <w:p>
      <w:pPr>
        <w:pStyle w:val="Heading2"/>
      </w:pPr>
      <w:r>
        <w:t xml:space="preserve">Auftrag C – Kopieren oder Verschieben?</w:t>
      </w:r>
    </w:p>
    <w:p>
      <w:pPr>
        <w:pStyle w:val="FirstParagraph"/>
      </w:pPr>
      <w:r>
        <w:t xml:space="preserve">Entscheide jeweils, ob Kopieren oder Verschieben sinnvoll ist.</w:t>
      </w:r>
    </w:p>
    <w:p>
      <w:pPr>
        <w:numPr>
          <w:ilvl w:val="0"/>
          <w:numId w:val="1034"/>
        </w:numPr>
        <w:pStyle w:val="Compact"/>
      </w:pPr>
      <w:r>
        <w:t xml:space="preserve">Eine Sicherheitskopie auf einem USB-Stick anlegen.</w:t>
      </w:r>
    </w:p>
    <w:p>
      <w:pPr>
        <w:numPr>
          <w:ilvl w:val="0"/>
          <w:numId w:val="1034"/>
        </w:numPr>
        <w:pStyle w:val="Compact"/>
      </w:pPr>
      <w:r>
        <w:t xml:space="preserve">Eine Datei aus</w:t>
      </w:r>
      <w:r>
        <w:t xml:space="preserve"> </w:t>
      </w:r>
      <w:r>
        <w:rPr>
          <w:rStyle w:val="VerbatimChar"/>
        </w:rPr>
        <w:t xml:space="preserve">Downloads</w:t>
      </w:r>
      <w:r>
        <w:t xml:space="preserve"> </w:t>
      </w:r>
      <w:r>
        <w:t xml:space="preserve">in den Projektordner einsortieren.</w:t>
      </w:r>
    </w:p>
    <w:p>
      <w:pPr>
        <w:numPr>
          <w:ilvl w:val="0"/>
          <w:numId w:val="1034"/>
        </w:numPr>
        <w:pStyle w:val="Compact"/>
      </w:pPr>
      <w:r>
        <w:t xml:space="preserve">Eine Vorlage für mehrere Gruppen bereitstellen.</w:t>
      </w:r>
    </w:p>
    <w:p>
      <w:pPr>
        <w:numPr>
          <w:ilvl w:val="0"/>
          <w:numId w:val="1034"/>
        </w:numPr>
        <w:pStyle w:val="Compact"/>
      </w:pPr>
      <w:r>
        <w:t xml:space="preserve">Eine falsch abgelegte Datei an den richtigen Ort bringen.</w:t>
      </w:r>
    </w:p>
    <w:bookmarkEnd w:id="102"/>
    <w:bookmarkStart w:id="103" w:name="sicherung"/>
    <w:p>
      <w:pPr>
        <w:pStyle w:val="Heading2"/>
      </w:pPr>
      <w:r>
        <w:t xml:space="preserve">Sicherung</w:t>
      </w:r>
    </w:p>
    <w:p>
      <w:pPr>
        <w:pStyle w:val="BlockText"/>
      </w:pPr>
      <w:r>
        <w:t xml:space="preserve">Systembereitschaft bedeutet: Gerät, Anmeldung, Verbindung, Anwendung und benötigte Dateien sind nutzbar. Meldungen geben Hinweise und sollten fachlich gelesen werden.</w:t>
      </w:r>
    </w:p>
    <w:bookmarkEnd w:id="103"/>
    <w:bookmarkEnd w:id="104"/>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2026-08-17T19:13:47Z</dcterms:created>
  <dcterms:modified xsi:type="dcterms:W3CDTF">2026-08-17T19:13:47Z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