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7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X7a54d87c65445f831577b5aba7545cfee64a11c"/>
    <w:p>
      <w:pPr>
        <w:pStyle w:val="Heading1"/>
      </w:pPr>
      <w:r>
        <w:t xml:space="preserve">Präsentation – 01 bis 03 Daten, Darstellungen und digitale Medien</w:t>
      </w:r>
    </w:p>
    <w:bookmarkStart w:id="20" w:name="folie-1-leitfrage"/>
    <w:p>
      <w:pPr>
        <w:pStyle w:val="Heading2"/>
      </w:pPr>
      <w:r>
        <w:t xml:space="preserve">Folie 1 – Leitfrage</w:t>
      </w:r>
    </w:p>
    <w:p>
      <w:pPr>
        <w:pStyle w:val="BlockText"/>
      </w:pPr>
      <w:r>
        <w:t xml:space="preserve">Sind Daten und Informationen dasselbe?</w:t>
      </w:r>
    </w:p>
    <w:p>
      <w:pPr>
        <w:pStyle w:val="FirstParagraph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Mit einem isolierten Wert beginnen, z. B.</w:t>
      </w:r>
      <w:r>
        <w:t xml:space="preserve"> </w:t>
      </w:r>
      <w:r>
        <w:rPr>
          <w:rStyle w:val="VerbatimChar"/>
        </w:rPr>
        <w:t xml:space="preserve">18</w:t>
      </w:r>
      <w:r>
        <w:t xml:space="preserve">. Erst durch Kontext wird Information daraus.</w:t>
      </w:r>
    </w:p>
    <w:bookmarkEnd w:id="20"/>
    <w:bookmarkStart w:id="21" w:name="folie-2-daten-brauchen-kontext"/>
    <w:p>
      <w:pPr>
        <w:pStyle w:val="Heading2"/>
      </w:pPr>
      <w:r>
        <w:t xml:space="preserve">Folie 2 – Daten brauchen Kontext</w:t>
      </w:r>
    </w:p>
    <w:p>
      <w:pPr>
        <w:pStyle w:val="FirstParagraph"/>
      </w:pPr>
      <w:r>
        <w:t xml:space="preserve">Daten sind Darstellungen. Information entsteht, wenn Menschen oder Systeme Daten im Kontext deuten.</w:t>
      </w:r>
    </w:p>
    <w:bookmarkEnd w:id="21"/>
    <w:bookmarkStart w:id="22" w:name="Xb000d7ffd2c18023bca199391f08aa26e595a21"/>
    <w:p>
      <w:pPr>
        <w:pStyle w:val="Heading2"/>
      </w:pPr>
      <w:r>
        <w:t xml:space="preserve">Folie 3 – Eine Information, viele Darstellungen</w:t>
      </w:r>
    </w:p>
    <w:p>
      <w:pPr>
        <w:pStyle w:val="FirstParagraph"/>
      </w:pPr>
      <w:r>
        <w:t xml:space="preserve">Text, Tabelle, Diagramm, Grafik, Audio, Video und Multimedia können dieselbe Information unterschiedlich gut vermitteln.</w:t>
      </w:r>
    </w:p>
    <w:bookmarkEnd w:id="22"/>
    <w:bookmarkStart w:id="23" w:name="folie-4-zweck-und-zielgruppe"/>
    <w:p>
      <w:pPr>
        <w:pStyle w:val="Heading2"/>
      </w:pPr>
      <w:r>
        <w:t xml:space="preserve">Folie 4 – Zweck und Zielgruppe</w:t>
      </w:r>
    </w:p>
    <w:p>
      <w:pPr>
        <w:pStyle w:val="FirstParagraph"/>
      </w:pPr>
      <w:r>
        <w:t xml:space="preserve">Die passende Darstellungsform hängt von Fragestellung, Zielgruppe und Situation ab.</w:t>
      </w:r>
    </w:p>
    <w:bookmarkEnd w:id="23"/>
    <w:bookmarkStart w:id="24" w:name="folie-5-darstellungsformen-vergleichen"/>
    <w:p>
      <w:pPr>
        <w:pStyle w:val="Heading2"/>
      </w:pPr>
      <w:r>
        <w:t xml:space="preserve">Folie 5 – Darstellungsformen vergleichen</w:t>
      </w:r>
    </w:p>
    <w:p>
      <w:pPr>
        <w:pStyle w:val="FirstParagraph"/>
      </w:pPr>
      <w:r>
        <w:t xml:space="preserve">Tabelle: genaue Werte. Diagramm: Muster und Vergleiche. Text: Erklärung. Bild/Grafik: Überblick. Audio/Video: Ablauf, Atmosphäre oder Demonstration.</w:t>
      </w:r>
    </w:p>
    <w:bookmarkEnd w:id="24"/>
    <w:bookmarkStart w:id="25" w:name="folie-6-digitale-medien-erstellen"/>
    <w:p>
      <w:pPr>
        <w:pStyle w:val="Heading2"/>
      </w:pPr>
      <w:r>
        <w:t xml:space="preserve">Folie 6 – Digitale Medien erstellen</w:t>
      </w:r>
    </w:p>
    <w:p>
      <w:pPr>
        <w:pStyle w:val="FirstParagraph"/>
      </w:pPr>
      <w:r>
        <w:t xml:space="preserve">Vor dem Erstellen klären: Was soll vermittelt werden? Für wen? In welcher Form?</w:t>
      </w:r>
    </w:p>
    <w:bookmarkEnd w:id="25"/>
    <w:bookmarkStart w:id="26" w:name="folie-7-inhalt-und-design-trennen"/>
    <w:p>
      <w:pPr>
        <w:pStyle w:val="Heading2"/>
      </w:pPr>
      <w:r>
        <w:t xml:space="preserve">Folie 7 – Inhalt und Design trennen</w:t>
      </w:r>
    </w:p>
    <w:p>
      <w:pPr>
        <w:pStyle w:val="FirstParagraph"/>
      </w:pPr>
      <w:r>
        <w:t xml:space="preserve">Inhalt = Aussage. Design = Form. Gestaltung soll Verständlichkeit unterstützen und darf Information nicht verfälschen.</w:t>
      </w:r>
    </w:p>
    <w:bookmarkEnd w:id="26"/>
    <w:bookmarkStart w:id="27" w:name="folie-8-software-passend-auswählen"/>
    <w:p>
      <w:pPr>
        <w:pStyle w:val="Heading2"/>
      </w:pPr>
      <w:r>
        <w:t xml:space="preserve">Folie 8 – Software passend auswählen</w:t>
      </w:r>
    </w:p>
    <w:p>
      <w:pPr>
        <w:pStyle w:val="FirstParagraph"/>
      </w:pPr>
      <w:r>
        <w:t xml:space="preserve">Textverarbeitung, Präsentation, Tabellenkalkulation, Grafikprogramm, Audio-/Video-Software oder browsergestützte Anwendung.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Problembezogene Auswahl ist verbindlich. Nicht nur Namen von Programmen abfragen, sondern begründen lassen.</w:t>
      </w:r>
    </w:p>
    <w:bookmarkEnd w:id="27"/>
    <w:bookmarkStart w:id="28" w:name="X452723662fb4e56de3fbfd2c5bc61be213efbb8"/>
    <w:p>
      <w:pPr>
        <w:pStyle w:val="Heading2"/>
      </w:pPr>
      <w:r>
        <w:t xml:space="preserve">Folie 9 – Weitere Anwendungssoftware kennenlernen</w:t>
      </w:r>
    </w:p>
    <w:p>
      <w:pPr>
        <w:pStyle w:val="FirstParagraph"/>
      </w:pPr>
      <w:r>
        <w:t xml:space="preserve">Eine bislang weniger bekannte Anwendung praktisch erkunden: z. B. Tabellenkalkulation für Auswertung oder Grafikprogramm für ein Schaubild.</w:t>
      </w:r>
    </w:p>
    <w:bookmarkEnd w:id="28"/>
    <w:bookmarkStart w:id="29" w:name="Xec94a8493343c1cafe3d4e457cd8a5b138ad4d5"/>
    <w:p>
      <w:pPr>
        <w:pStyle w:val="Heading2"/>
      </w:pPr>
      <w:r>
        <w:t xml:space="preserve">Folie 10 – Automatisierung in Anwendersoftware</w:t>
      </w:r>
    </w:p>
    <w:p>
      <w:pPr>
        <w:pStyle w:val="FirstParagraph"/>
      </w:pPr>
      <w:r>
        <w:t xml:space="preserve">Rechtschreibprüfung, automatische Summen, Layoutvorlagen, Filter, Formatvorlagen, Bildkorrektur.</w:t>
      </w:r>
    </w:p>
    <w:bookmarkEnd w:id="29"/>
    <w:bookmarkStart w:id="30" w:name="X35d15a2751f6a3eeda67a01ab0ec9cdd6d43076"/>
    <w:p>
      <w:pPr>
        <w:pStyle w:val="Heading2"/>
      </w:pPr>
      <w:r>
        <w:t xml:space="preserve">Folie 11 – Automatisch erzeugte Medien kritisch prüfen</w:t>
      </w:r>
    </w:p>
    <w:p>
      <w:pPr>
        <w:pStyle w:val="FirstParagraph"/>
      </w:pPr>
      <w:r>
        <w:t xml:space="preserve">Automaten können Texte, Bilder oder Vorschläge erzeugen. Ergebnisse müssen auf Inhalt, Quelle, Absicht und Fehler geprüft werden.</w:t>
      </w:r>
    </w:p>
    <w:bookmarkEnd w:id="30"/>
    <w:bookmarkStart w:id="31" w:name="folie-12-sicherung"/>
    <w:p>
      <w:pPr>
        <w:pStyle w:val="Heading2"/>
      </w:pPr>
      <w:r>
        <w:t xml:space="preserve">Folie 12 – Sicherung</w:t>
      </w:r>
    </w:p>
    <w:p>
      <w:pPr>
        <w:pStyle w:val="BlockText"/>
      </w:pPr>
      <w:r>
        <w:t xml:space="preserve">Daten werden erst durch Kontext zu Information. Gute digitale Medien wählen Darstellung, Software und Gestaltung passend zum Zweck.</w:t>
      </w:r>
    </w:p>
    <w:p>
      <w:r>
        <w:br w:type="page"/>
      </w:r>
    </w:p>
    <w:bookmarkEnd w:id="31"/>
    <w:bookmarkEnd w:id="32"/>
    <w:bookmarkStart w:id="45" w:name="X6f15e04703cafb2e4438993fb2e67f4b3ac74a8"/>
    <w:p>
      <w:pPr>
        <w:pStyle w:val="Heading1"/>
      </w:pPr>
      <w:r>
        <w:t xml:space="preserve">Präsentation – 04 bis 06 Objekte, Klassen, Rechte und Dokumentenschutz</w:t>
      </w:r>
    </w:p>
    <w:bookmarkStart w:id="33" w:name="folie-1-leitfrage-1"/>
    <w:p>
      <w:pPr>
        <w:pStyle w:val="Heading2"/>
      </w:pPr>
      <w:r>
        <w:t xml:space="preserve">Folie 1 – Leitfrage</w:t>
      </w:r>
    </w:p>
    <w:p>
      <w:pPr>
        <w:pStyle w:val="BlockText"/>
      </w:pPr>
      <w:r>
        <w:t xml:space="preserve">Wie beschreibt ein Computer Dinge mit Eigenschaften?</w:t>
      </w:r>
    </w:p>
    <w:bookmarkEnd w:id="33"/>
    <w:bookmarkStart w:id="34" w:name="folie-2-objekt-und-attribute"/>
    <w:p>
      <w:pPr>
        <w:pStyle w:val="Heading2"/>
      </w:pPr>
      <w:r>
        <w:t xml:space="preserve">Folie 2 – Objekt und Attribute</w:t>
      </w:r>
    </w:p>
    <w:p>
      <w:pPr>
        <w:pStyle w:val="FirstParagraph"/>
      </w:pPr>
      <w:r>
        <w:t xml:space="preserve">Objekt = konkretes Ding im Dokument oder Programm. Attribute beschreiben Eigenschaften, z. B. Farbe, Größe, Position oder Dateiname.</w:t>
      </w:r>
    </w:p>
    <w:bookmarkEnd w:id="34"/>
    <w:bookmarkStart w:id="35" w:name="folie-3-attributwert-und-zustand"/>
    <w:p>
      <w:pPr>
        <w:pStyle w:val="Heading2"/>
      </w:pPr>
      <w:r>
        <w:t xml:space="preserve">Folie 3 – Attributwert und Zustand</w:t>
      </w:r>
    </w:p>
    <w:p>
      <w:pPr>
        <w:pStyle w:val="FirstParagraph"/>
      </w:pPr>
      <w:r>
        <w:t xml:space="preserve">Attributwert = konkreter Wert eines Attributs. Der Zustand eines Objekts besteht aus seinen aktuellen Attributwerten.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Wichtig: Wenn ein Objekt seine Werte ändert, ändert sich nicht die Klasse. Das ist eine typische Fehlvorstellung.</w:t>
      </w:r>
    </w:p>
    <w:bookmarkEnd w:id="35"/>
    <w:bookmarkStart w:id="36" w:name="folie-4-klasse-als-bauplan"/>
    <w:p>
      <w:pPr>
        <w:pStyle w:val="Heading2"/>
      </w:pPr>
      <w:r>
        <w:t xml:space="preserve">Folie 4 – Klasse als Bauplan</w:t>
      </w:r>
    </w:p>
    <w:p>
      <w:pPr>
        <w:pStyle w:val="FirstParagraph"/>
      </w:pPr>
      <w:r>
        <w:t xml:space="preserve">Eine Klasse beschreibt gemeinsame Merkmale ähnlicher Objekte. Konkrete Objekte entstehen aus diesem Bauplan und haben eigene Werte.</w:t>
      </w:r>
    </w:p>
    <w:bookmarkEnd w:id="36"/>
    <w:bookmarkStart w:id="37" w:name="X49bdb7467ebae94029bccd2eabb0c8c18e4f09d"/>
    <w:p>
      <w:pPr>
        <w:pStyle w:val="Heading2"/>
      </w:pPr>
      <w:r>
        <w:t xml:space="preserve">Folie 5 – Methoden und Aktionen unterscheiden</w:t>
      </w:r>
    </w:p>
    <w:p>
      <w:pPr>
        <w:pStyle w:val="FirstParagraph"/>
      </w:pPr>
      <w:r>
        <w:t xml:space="preserve">Methode: verändert etwas am Objekt oder führt eine objektbezogene Handlung aus. Erstellen, Kopieren und Löschen sind Verwaltungsaktionen.</w:t>
      </w:r>
    </w:p>
    <w:bookmarkEnd w:id="37"/>
    <w:bookmarkStart w:id="38" w:name="folie-6-vereinfachte-darstellung"/>
    <w:p>
      <w:pPr>
        <w:pStyle w:val="Heading2"/>
      </w:pPr>
      <w:r>
        <w:t xml:space="preserve">Folie 6 – Vereinfachte Darstellung</w:t>
      </w:r>
    </w:p>
    <w:p>
      <w:pPr>
        <w:pStyle w:val="FirstParagraph"/>
      </w:pPr>
      <w:r>
        <w:t xml:space="preserve">Klasse: Attribute und mögliche Methoden. Objekt: konkrete Attributwerte. Pfeile zeigen Zuordnung von Objekt zu Klasse.</w:t>
      </w:r>
    </w:p>
    <w:bookmarkEnd w:id="38"/>
    <w:bookmarkStart w:id="39" w:name="folie-7-persönliche-daten-und-rechte"/>
    <w:p>
      <w:pPr>
        <w:pStyle w:val="Heading2"/>
      </w:pPr>
      <w:r>
        <w:t xml:space="preserve">Folie 7 – Persönliche Daten und Rechte</w:t>
      </w:r>
    </w:p>
    <w:p>
      <w:pPr>
        <w:pStyle w:val="FirstParagraph"/>
      </w:pPr>
      <w:r>
        <w:t xml:space="preserve">Name, Foto, Stimme, Standort, Kontaktdaten. Persönlichkeitsrechte beachten, bevor Daten veröffentlicht oder geteilt werden.</w:t>
      </w:r>
    </w:p>
    <w:bookmarkEnd w:id="39"/>
    <w:bookmarkStart w:id="40" w:name="X0305d6e734268fa7c1515f28d2a314850a092e3"/>
    <w:p>
      <w:pPr>
        <w:pStyle w:val="Heading2"/>
      </w:pPr>
      <w:r>
        <w:t xml:space="preserve">Folie 8 – Urheberrecht, Quelle, Zitat, Plagiat</w:t>
      </w:r>
    </w:p>
    <w:p>
      <w:pPr>
        <w:pStyle w:val="FirstParagraph"/>
      </w:pPr>
      <w:r>
        <w:t xml:space="preserve">Fremde Texte, Bilder, Musik und Videos benötigen erlaubte Nutzung. Quellen müssen nachvollziehbar angegeben werden. Kopieren ohne Kennzeichnung kann ein Plagiat sein.</w:t>
      </w:r>
    </w:p>
    <w:bookmarkEnd w:id="40"/>
    <w:bookmarkStart w:id="41" w:name="folie-9-inhaltsdaten-und-metadaten"/>
    <w:p>
      <w:pPr>
        <w:pStyle w:val="Heading2"/>
      </w:pPr>
      <w:r>
        <w:t xml:space="preserve">Folie 9 – Inhaltsdaten und Metadaten</w:t>
      </w:r>
    </w:p>
    <w:p>
      <w:pPr>
        <w:pStyle w:val="FirstParagraph"/>
      </w:pPr>
      <w:r>
        <w:t xml:space="preserve">Inhaltsdaten: eigentlicher Inhalt. Metadaten: Zusatzinformationen wie Autor, Änderungsdatum, Standortdaten oder Dateieigenschaften.</w:t>
      </w:r>
    </w:p>
    <w:bookmarkEnd w:id="41"/>
    <w:bookmarkStart w:id="42" w:name="folie-10-dokumentenschutz"/>
    <w:p>
      <w:pPr>
        <w:pStyle w:val="Heading2"/>
      </w:pPr>
      <w:r>
        <w:t xml:space="preserve">Folie 10 – Dokumentenschutz</w:t>
      </w:r>
    </w:p>
    <w:p>
      <w:pPr>
        <w:pStyle w:val="FirstParagraph"/>
      </w:pPr>
      <w:r>
        <w:t xml:space="preserve">Passwortschutz, Leserechte, Bearbeitungsrechte, Freigaben und Versionen helfen, Dokumente kontrolliert zu nutzen.</w:t>
      </w:r>
    </w:p>
    <w:bookmarkEnd w:id="42"/>
    <w:bookmarkStart w:id="43" w:name="folie-11-manipulation-und-verbreitung"/>
    <w:p>
      <w:pPr>
        <w:pStyle w:val="Heading2"/>
      </w:pPr>
      <w:r>
        <w:t xml:space="preserve">Folie 11 – Manipulation und Verbreitung</w:t>
      </w:r>
    </w:p>
    <w:p>
      <w:pPr>
        <w:pStyle w:val="FirstParagraph"/>
      </w:pPr>
      <w:r>
        <w:t xml:space="preserve">Medien können verändert, aus dem Kontext gerissen oder automatisch erzeugt werden. Deshalb Quelle, Kontext und Plausibilität prüfen.</w:t>
      </w:r>
    </w:p>
    <w:bookmarkEnd w:id="43"/>
    <w:bookmarkStart w:id="44" w:name="folie-12-sicherung-1"/>
    <w:p>
      <w:pPr>
        <w:pStyle w:val="Heading2"/>
      </w:pPr>
      <w:r>
        <w:t xml:space="preserve">Folie 12 – Sicherung</w:t>
      </w:r>
    </w:p>
    <w:p>
      <w:pPr>
        <w:pStyle w:val="BlockText"/>
      </w:pPr>
      <w:r>
        <w:t xml:space="preserve">Daten und Medien sind nicht nur technisch erreichbar. Ihre Darstellung, Nutzung, Veränderung und Weitergabe müssen fachlich und rechtlich verantwortet werden.</w:t>
      </w:r>
    </w:p>
    <w:bookmarkEnd w:id="44"/>
    <w:bookmarkEnd w:id="4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v0.4.0-378-g61c0f2a-dirty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2026-08-17T19:12:41Z</dcterms:created>
  <dcterms:modified xsi:type="dcterms:W3CDTF">2026-08-17T19:12:41Z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md</vt:lpwstr>
  </property>
  <property fmtid="{D5CDD505-2E9C-101B-9397-08002B2CF9AE}" pid="3" name="toc-title">
    <vt:lpwstr>Inhaltsverzeichnis</vt:lpwstr>
  </property>
</Properties>
</file>