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computergrafik"/>
    <w:p>
      <w:pPr>
        <w:pStyle w:val="Heading1"/>
      </w:pPr>
      <w:r>
        <w:t xml:space="preserve">Lösungen – Computergrafik</w:t>
      </w:r>
    </w:p>
    <w:bookmarkStart w:id="20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800 × 600 = 480 000 Pixel. Werden Breite und Höhe jeweils verdoppelt, vervierfacht sich die Pixelzahl: 1600 × 1200 = 1 920 000 Pixel.</w:t>
      </w:r>
    </w:p>
    <w:bookmarkEnd w:id="20"/>
    <w:bookmarkStart w:id="21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Mögliche Attribute:</w:t>
      </w:r>
      <w:r>
        <w:t xml:space="preserve"> </w:t>
      </w:r>
      <w:r>
        <w:t xml:space="preserve">- Kreis: Mittelpunkt, Radius, Füllfarbe</w:t>
      </w:r>
      <w:r>
        <w:t xml:space="preserve"> </w:t>
      </w:r>
      <w:r>
        <w:t xml:space="preserve">- Linie: Startpunkt, Endpunkt, Linienbreite</w:t>
      </w:r>
      <w:r>
        <w:t xml:space="preserve"> </w:t>
      </w:r>
      <w:r>
        <w:t xml:space="preserve">- Rechteck: Position, Breite, Höhe, Füllfarbe</w:t>
      </w:r>
    </w:p>
    <w:bookmarkEnd w:id="21"/>
    <w:bookmarkStart w:id="22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Pixelgrafiken verwenden ein festes Raster und eignen sich besonders für pixelbasierte Bilddaten wie Fotos. Vektorgrafiken beschreiben grafische Objekte und eignen sich besonders für skalierbare Formen, Symbole und Illustrationen.</w:t>
      </w:r>
    </w:p>
    <w:bookmarkEnd w:id="22"/>
    <w:bookmarkStart w:id="23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Die Begründung muss zum Produkt passen. Entscheidend ist nicht ein pauschal „besseres“ Format, sondern der Einsatzzweck.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2026-08-17T19:14:23Z</dcterms:created>
  <dcterms:modified xsi:type="dcterms:W3CDTF">2026-08-17T19:14:23Z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