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robot-karol-einstieg"/>
    <w:p>
      <w:pPr>
        <w:pStyle w:val="Heading1"/>
      </w:pPr>
      <w:r>
        <w:t xml:space="preserve">Lehrerband – Robot Karol Einstieg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umgebung-und-grundbefehle"/>
    <w:p>
      <w:pPr>
        <w:pStyle w:val="Heading2"/>
      </w:pPr>
      <w:r>
        <w:t xml:space="preserve">Stunde 1 – Umgebung und Grundbefehle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Karol-Welt und Orientierung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Wege und Ziegelaufgaben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falscher Ablauf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= konkret formulierter Algorithmus</w:t>
            </w:r>
          </w:p>
        </w:tc>
      </w:tr>
    </w:tbl>
    <w:bookmarkEnd w:id="21"/>
    <w:bookmarkStart w:id="22" w:name="stunde-2-wiederholungen"/>
    <w:p>
      <w:pPr>
        <w:pStyle w:val="Heading2"/>
      </w:pPr>
      <w:r>
        <w:t xml:space="preserve">Stunde 2 – Wiederholungen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langes Programm mit Einzelbefehlen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Quadrat und Ziegelmuster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Vergleich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Lesbarkeit und Änderbarkeit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</w:tr>
    </w:tbl>
    <w:bookmarkEnd w:id="22"/>
    <w:bookmarkStart w:id="2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konkrete Syntax kann zwischen Karol-Versionen variieren. Unterrichtlich steht die Kontrollstruktur im Mittelpunkt; Syntaxhinweise an die installierte Version anpassen.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Grundbefehle lesen, Ablauf vorhersagen, Wiederholungen erkennen und einfache Karol-Programme entwerfen.</w:t>
      </w:r>
    </w:p>
    <w:p>
      <w:r>
        <w:br w:type="page"/>
      </w:r>
    </w:p>
    <w:bookmarkEnd w:id="24"/>
    <w:bookmarkEnd w:id="25"/>
    <w:bookmarkStart w:id="31" w:name="X99666167d844b97b5632255e542d7bcf73d96b1"/>
    <w:p>
      <w:pPr>
        <w:pStyle w:val="Heading1"/>
      </w:pPr>
      <w:r>
        <w:t xml:space="preserve">Lehrerband – Robot Karol: Bedingungen und Unterprogramme</w:t>
      </w:r>
    </w:p>
    <w:bookmarkStart w:id="26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6"/>
    <w:bookmarkStart w:id="27" w:name="stunde-3-bedingungen-und-sensoren"/>
    <w:p>
      <w:pPr>
        <w:pStyle w:val="Heading2"/>
      </w:pPr>
      <w:r>
        <w:t xml:space="preserve">Stunde 3 – Bedingungen und Sensoren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Programm, unterschiedliche Welten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Sensorfragen und WENN-Struktur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Wand / Hindernisreaktion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starre vs. situationsabhängige 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größere Aufgaben zerlegen</w:t>
            </w:r>
          </w:p>
        </w:tc>
      </w:tr>
    </w:tbl>
    <w:bookmarkEnd w:id="27"/>
    <w:bookmarkStart w:id="28" w:name="stunde-4-unterprogramme-und-problemlösen"/>
    <w:p>
      <w:pPr>
        <w:pStyle w:val="Heading2"/>
      </w:pPr>
      <w:r>
        <w:t xml:space="preserve">Stunde 4 – Unterprogramme und Problemlösen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unübersichtliches langes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und benannte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Rechteck-/Musteraufgabe planen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 in Schritten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Zerlegen – programmieren – testen</w:t>
            </w:r>
          </w:p>
        </w:tc>
      </w:tr>
    </w:tbl>
    <w:bookmarkEnd w:id="28"/>
    <w:bookmarkStart w:id="29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Eine Bedingung wird nur einmal geprüft, obwohl sie in einer Schleife liegt.</w:t>
      </w:r>
    </w:p>
    <w:p>
      <w:pPr>
        <w:numPr>
          <w:ilvl w:val="0"/>
          <w:numId w:val="1001"/>
        </w:numPr>
        <w:pStyle w:val="Compact"/>
      </w:pPr>
      <w:r>
        <w:t xml:space="preserve">Unterprogramme seien nur Abkürzungen; betonen: Struktur, Wiederverwendung, Wartbarkeit.</w:t>
      </w:r>
    </w:p>
    <w:p>
      <w:pPr>
        <w:numPr>
          <w:ilvl w:val="0"/>
          <w:numId w:val="1001"/>
        </w:numPr>
        <w:pStyle w:val="Compact"/>
      </w:pPr>
      <w:r>
        <w:t xml:space="preserve">Testen beginne erst am Ende; stattdessen früh und mit kleinen Testfällen.</w:t>
      </w:r>
    </w:p>
    <w:bookmarkEnd w:id="29"/>
    <w:bookmarkStart w:id="30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Bedingungen lesen und formulieren, feste und bedingte Wiederholungen unterscheiden, Teilprobleme erkennen und einfache Unterprogramme beschreiben.</w:t>
      </w:r>
    </w:p>
    <w:p>
      <w:r>
        <w:br w:type="page"/>
      </w:r>
    </w:p>
    <w:bookmarkEnd w:id="30"/>
    <w:bookmarkEnd w:id="31"/>
    <w:bookmarkStart w:id="37" w:name="X1c5f9169f8c3313d00a35cf1dc70dd721243911"/>
    <w:p>
      <w:pPr>
        <w:pStyle w:val="Heading1"/>
      </w:pPr>
      <w:r>
        <w:t xml:space="preserve">Lehrerband – Karol-Projekt und Kompetenzcheck</w:t>
      </w:r>
    </w:p>
    <w:bookmarkStart w:id="32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2"/>
    <w:bookmarkStart w:id="33" w:name="stunde-1-projektplanung-und-umsetzung"/>
    <w:p>
      <w:pPr>
        <w:pStyle w:val="Heading2"/>
      </w:pPr>
      <w:r>
        <w:t xml:space="preserve">Stunde 1 – Projektplanung und Umsetzung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Welt, Teilprobleme, 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programmieren und früh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Zwischenstand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und nächste Schritte sichern</w:t>
            </w:r>
          </w:p>
        </w:tc>
      </w:tr>
    </w:tbl>
    <w:bookmarkEnd w:id="33"/>
    <w:bookmarkStart w:id="34" w:name="stunde-2-testen-und-kompetenzcheck"/>
    <w:p>
      <w:pPr>
        <w:pStyle w:val="Heading2"/>
      </w:pPr>
      <w:r>
        <w:t xml:space="preserve">Stunde 2 – Testen und Kompetenzcheck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Teststrategie wiederholen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drei Testfälle durchführen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Verbesserung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beheben und erneut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schriftliche 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Leistungskontrolle</w:t>
            </w:r>
          </w:p>
        </w:tc>
      </w:tr>
    </w:tbl>
    <w:bookmarkEnd w:id="34"/>
    <w:bookmarkStart w:id="35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ist primär Übung und Diagnose. Eine Note ist nicht erforderlich. Die schriftlichen Leistungskontrollen werden separat bereitgestellt.</w:t>
      </w:r>
    </w:p>
    <w:bookmarkEnd w:id="35"/>
    <w:bookmarkStart w:id="36" w:name="beobachtungsschwerpunkte"/>
    <w:p>
      <w:pPr>
        <w:pStyle w:val="Heading2"/>
      </w:pPr>
      <w:r>
        <w:t xml:space="preserve">Beobachtungsschwerpunkte</w:t>
      </w:r>
    </w:p>
    <w:p>
      <w:pPr>
        <w:numPr>
          <w:ilvl w:val="0"/>
          <w:numId w:val="1002"/>
        </w:numPr>
        <w:pStyle w:val="Compact"/>
      </w:pPr>
      <w:r>
        <w:t xml:space="preserve">plant vor dem Programmieren,</w:t>
      </w:r>
    </w:p>
    <w:p>
      <w:pPr>
        <w:numPr>
          <w:ilvl w:val="0"/>
          <w:numId w:val="1002"/>
        </w:numPr>
        <w:pStyle w:val="Compact"/>
      </w:pPr>
      <w:r>
        <w:t xml:space="preserve">nutzt Kontrollstrukturen passend,</w:t>
      </w:r>
    </w:p>
    <w:p>
      <w:pPr>
        <w:numPr>
          <w:ilvl w:val="0"/>
          <w:numId w:val="1002"/>
        </w:numPr>
        <w:pStyle w:val="Compact"/>
      </w:pPr>
      <w:r>
        <w:t xml:space="preserve">benennt Teilprobleme sinnvoll,</w:t>
      </w:r>
    </w:p>
    <w:p>
      <w:pPr>
        <w:numPr>
          <w:ilvl w:val="0"/>
          <w:numId w:val="1002"/>
        </w:numPr>
        <w:pStyle w:val="Compact"/>
      </w:pPr>
      <w:r>
        <w:t xml:space="preserve">testet systematisch,</w:t>
      </w:r>
    </w:p>
    <w:p>
      <w:pPr>
        <w:numPr>
          <w:ilvl w:val="0"/>
          <w:numId w:val="1002"/>
        </w:numPr>
        <w:pStyle w:val="Compact"/>
      </w:pPr>
      <w:r>
        <w:t xml:space="preserve">kann Fehler begründen und verbessern.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2026-08-17T19:15:41Z</dcterms:created>
  <dcterms:modified xsi:type="dcterms:W3CDTF">2026-08-17T19:15:41Z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