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6" w:name="Xb642a100694b83cb2b7ab6710e168716ba08c3d"/>
    <w:p>
      <w:pPr>
        <w:pStyle w:val="Heading1"/>
      </w:pPr>
      <w:r>
        <w:t xml:space="preserve">Lösungen – 07 bis 09 Informatiksysteme, Speicher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Prozessor, Tastatur, Bildschirm, Sensor.</w:t>
      </w:r>
    </w:p>
    <w:p>
      <w:pPr>
        <w:pStyle w:val="BodyText"/>
      </w:pPr>
      <w:r>
        <w:t xml:space="preserve">Software: Browser, Betriebssystem, Textverarbeitung, Präsentationsprogramm, Werkzeugprogramm.</w:t>
      </w:r>
    </w:p>
    <w:p>
      <w:pPr>
        <w:pStyle w:val="BodyText"/>
      </w:pPr>
      <w:r>
        <w:t xml:space="preserve">Betriebssystem: verwaltet grundlegende Ressourcen und stellt Funktionen für Anwendungen bereit.</w:t>
      </w:r>
    </w:p>
    <w:p>
      <w:pPr>
        <w:pStyle w:val="BodyText"/>
      </w:pPr>
      <w:r>
        <w:t xml:space="preserve">Anwendungssoftware/Werkzeug: unterstützt konkrete Aufgaben, z. B. recherchieren, schreiben, präsentieren, berechnen, bearbeiten.</w:t>
      </w:r>
    </w:p>
    <w:bookmarkEnd w:id="78"/>
    <w:bookmarkStart w:id="79" w:name="blockbild-eines-informatiksystems"/>
    <w:p>
      <w:pPr>
        <w:pStyle w:val="Heading2"/>
      </w:pPr>
      <w:r>
        <w:t xml:space="preserve">Blockbild eines Informatiksystems</w:t>
      </w:r>
    </w:p>
    <w:p>
      <w:pPr>
        <w:pStyle w:val="FirstParagraph"/>
      </w:pPr>
      <w:r>
        <w:t xml:space="preserve">Ein einfaches Blockbild enthält mindestens:</w:t>
      </w:r>
    </w:p>
    <w:p>
      <w:pPr>
        <w:pStyle w:val="SourceCode"/>
      </w:pPr>
      <w:r>
        <w:rPr>
          <w:rStyle w:val="VerbatimChar"/>
        </w:rPr>
        <w:t xml:space="preserve">Eingabe → Verarbeitung → Ausgabe</w:t>
      </w:r>
      <w:r>
        <w:br/>
      </w:r>
      <w:r>
        <w:rPr>
          <w:rStyle w:val="VerbatimChar"/>
        </w:rPr>
        <w:t xml:space="preserve">             ↕</w:t>
      </w:r>
      <w:r>
        <w:br/>
      </w:r>
      <w:r>
        <w:rPr>
          <w:rStyle w:val="VerbatimChar"/>
        </w:rPr>
        <w:t xml:space="preserve">          Speicher</w:t>
      </w:r>
    </w:p>
    <w:p>
      <w:pPr>
        <w:pStyle w:val="FirstParagraph"/>
      </w:pPr>
      <w:r>
        <w:t xml:space="preserve">Beispiele Smartphone:</w:t>
      </w:r>
    </w:p>
    <w:p>
      <w:pPr>
        <w:numPr>
          <w:ilvl w:val="0"/>
          <w:numId w:val="1023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23"/>
        </w:numPr>
        <w:pStyle w:val="Compact"/>
      </w:pPr>
      <w:r>
        <w:t xml:space="preserve">Verarbeitung: Prozessor/App wertet Daten aus</w:t>
      </w:r>
    </w:p>
    <w:p>
      <w:pPr>
        <w:numPr>
          <w:ilvl w:val="0"/>
          <w:numId w:val="1023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23"/>
        </w:numPr>
        <w:pStyle w:val="Compact"/>
      </w:pPr>
      <w:r>
        <w:t xml:space="preserve">Speicher: interner Speicher, Cloudspeicher, App-Daten</w:t>
      </w:r>
    </w:p>
    <w:bookmarkEnd w:id="79"/>
    <w:bookmarkStart w:id="80" w:name="systembereitschaft-und-fehlermeldungen"/>
    <w:p>
      <w:pPr>
        <w:pStyle w:val="Heading2"/>
      </w:pPr>
      <w:r>
        <w:t xml:space="preserve">Systembereitschaft und Fehlermeldungen</w:t>
      </w:r>
    </w:p>
    <w:p>
      <w:pPr>
        <w:pStyle w:val="FirstParagraph"/>
      </w:pPr>
      <w:r>
        <w:t xml:space="preserve">Bei „Anmeldung fehlgeschlagen“ sinnvolle Prüfschritte:</w:t>
      </w:r>
    </w:p>
    <w:p>
      <w:pPr>
        <w:numPr>
          <w:ilvl w:val="0"/>
          <w:numId w:val="1024"/>
        </w:numPr>
        <w:pStyle w:val="Compact"/>
      </w:pPr>
      <w:r>
        <w:t xml:space="preserve">Benutzername prüfen</w:t>
      </w:r>
    </w:p>
    <w:p>
      <w:pPr>
        <w:numPr>
          <w:ilvl w:val="0"/>
          <w:numId w:val="1024"/>
        </w:numPr>
        <w:pStyle w:val="Compact"/>
      </w:pPr>
      <w:r>
        <w:t xml:space="preserve">Passwort langsam neu eingeben</w:t>
      </w:r>
    </w:p>
    <w:p>
      <w:pPr>
        <w:numPr>
          <w:ilvl w:val="0"/>
          <w:numId w:val="1024"/>
        </w:numPr>
        <w:pStyle w:val="Compact"/>
      </w:pPr>
      <w:r>
        <w:t xml:space="preserve">Großschreibung/Tastaturlayout prüfen</w:t>
      </w:r>
    </w:p>
    <w:p>
      <w:pPr>
        <w:numPr>
          <w:ilvl w:val="0"/>
          <w:numId w:val="1024"/>
        </w:numPr>
        <w:pStyle w:val="Compact"/>
      </w:pPr>
      <w:r>
        <w:t xml:space="preserve">Netzwerkverbindung prüfen</w:t>
      </w:r>
    </w:p>
    <w:p>
      <w:pPr>
        <w:numPr>
          <w:ilvl w:val="0"/>
          <w:numId w:val="1024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24"/>
        </w:numPr>
        <w:pStyle w:val="Compact"/>
      </w:pPr>
      <w:r>
        <w:t xml:space="preserve">Fehlermeldung vollständig lesen</w:t>
      </w:r>
    </w:p>
    <w:p>
      <w:pPr>
        <w:numPr>
          <w:ilvl w:val="0"/>
          <w:numId w:val="1024"/>
        </w:numPr>
        <w:pStyle w:val="Compact"/>
      </w:pPr>
      <w:r>
        <w:t xml:space="preserve">nach mehreren Versuchen Lehrkraft informieren</w:t>
      </w:r>
    </w:p>
    <w:bookmarkEnd w:id="80"/>
    <w:bookmarkStart w:id="81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„Kostenlos“ beschreibt den Preis, nicht die Nutzungsrechte. Open Source beschreibt zugänglichen Quelltext und Rechte gemäß Lizenz.</w:t>
      </w:r>
    </w:p>
    <w:p>
      <w:pPr>
        <w:pStyle w:val="BodyText"/>
      </w:pPr>
      <w:r>
        <w:t xml:space="preserve">Proprietäre Software: Rechte und Nutzung werden vom Anbieter festgelegt; Quelltext ist in der Regel nicht frei verfügbar.</w:t>
      </w:r>
    </w:p>
    <w:p>
      <w:pPr>
        <w:pStyle w:val="BodyText"/>
      </w:pPr>
      <w:r>
        <w:t xml:space="preserve">Open-Source-Software: Quelltext ist unter einer Lizenz zugänglich; Nutzung, Untersuchung, Veränderung und Weitergabe sind je nach Lizenz erlaubt.</w:t>
      </w:r>
    </w:p>
    <w:bookmarkEnd w:id="81"/>
    <w:bookmarkStart w:id="82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5"/>
        </w:numPr>
        <w:pStyle w:val="Compact"/>
      </w:pPr>
      <w:r>
        <w:t xml:space="preserve">Flüchtiger Speicher: verliert Inhalt ohne Strom, z. B. RAM.</w:t>
      </w:r>
    </w:p>
    <w:p>
      <w:pPr>
        <w:numPr>
          <w:ilvl w:val="0"/>
          <w:numId w:val="1025"/>
        </w:numPr>
        <w:pStyle w:val="Compact"/>
      </w:pPr>
      <w:r>
        <w:t xml:space="preserve">Nichtflüchtiger Speicher: behält Daten ohne Strom, z. B. SSD, USB-Stick, Speicherkarte.</w:t>
      </w:r>
    </w:p>
    <w:p>
      <w:pPr>
        <w:numPr>
          <w:ilvl w:val="0"/>
          <w:numId w:val="1025"/>
        </w:numPr>
        <w:pStyle w:val="Compact"/>
      </w:pPr>
      <w:r>
        <w:t xml:space="preserve">Lokaler Speicher: direkt am Gerät.</w:t>
      </w:r>
    </w:p>
    <w:p>
      <w:pPr>
        <w:numPr>
          <w:ilvl w:val="0"/>
          <w:numId w:val="1025"/>
        </w:numPr>
        <w:pStyle w:val="Compact"/>
      </w:pPr>
      <w:r>
        <w:t xml:space="preserve">Wechselspeicher: transportierbar, z. B. USB-Stick.</w:t>
      </w:r>
    </w:p>
    <w:p>
      <w:pPr>
        <w:numPr>
          <w:ilvl w:val="0"/>
          <w:numId w:val="1025"/>
        </w:numPr>
        <w:pStyle w:val="Compact"/>
      </w:pPr>
      <w:r>
        <w:t xml:space="preserve">Netzwerkspeicher/Cloud: über Netzwerk erreichbar, mit Zugriffsrechten und ggf. Internetabhängigkeit.</w:t>
      </w:r>
    </w:p>
    <w:p>
      <w:pPr>
        <w:numPr>
          <w:ilvl w:val="0"/>
          <w:numId w:val="1025"/>
        </w:numPr>
        <w:pStyle w:val="Compact"/>
      </w:pPr>
      <w:r>
        <w:t xml:space="preserve">Backup: zusätzliche, möglichst unabhängige Kopie wichtiger Daten.</w:t>
      </w:r>
    </w:p>
    <w:p>
      <w:pPr>
        <w:pStyle w:val="FirstParagraph"/>
      </w:pPr>
      <w:r>
        <w:t xml:space="preserve">Kriterien zum Vergleichen: Kapazität, Zugriffszeit/Geschwindigkeit, Zuverlässigkeit, Mobilität, Kosten, Zugriffsrechte, Datenschutz, Internetabhängigkeit.</w:t>
      </w:r>
    </w:p>
    <w:p>
      <w:pPr>
        <w:pStyle w:val="BodyText"/>
      </w:pPr>
      <w:r>
        <w:rPr>
          <w:rStyle w:val="VerbatimChar"/>
        </w:rPr>
        <w:t xml:space="preserve">4 Byte = 32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6 Byte = 48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16 Byte = 128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82"/>
    <w:bookmarkStart w:id="83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EVAS_Praesentation_2026-08-17.pdf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6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6"/>
        </w:numPr>
        <w:pStyle w:val="Compact"/>
      </w:pPr>
      <w:r>
        <w:t xml:space="preserve">MP3 → Audioplayer</w:t>
      </w:r>
    </w:p>
    <w:p>
      <w:pPr>
        <w:numPr>
          <w:ilvl w:val="0"/>
          <w:numId w:val="1026"/>
        </w:numPr>
        <w:pStyle w:val="Compact"/>
      </w:pPr>
      <w:r>
        <w:t xml:space="preserve">PDF → PDF-Anzeige</w:t>
      </w:r>
    </w:p>
    <w:p>
      <w:pPr>
        <w:numPr>
          <w:ilvl w:val="0"/>
          <w:numId w:val="1026"/>
        </w:numPr>
        <w:pStyle w:val="Compact"/>
      </w:pPr>
      <w:r>
        <w:t xml:space="preserve">PPTX → Präsentationssoftware</w:t>
      </w:r>
    </w:p>
    <w:bookmarkEnd w:id="83"/>
    <w:bookmarkStart w:id="84" w:name="fehlermeldungen-bei-dateien"/>
    <w:p>
      <w:pPr>
        <w:pStyle w:val="Heading2"/>
      </w:pPr>
      <w:r>
        <w:t xml:space="preserve">Fehlermeldungen bei Dateien</w:t>
      </w:r>
    </w:p>
    <w:p>
      <w:pPr>
        <w:pStyle w:val="FirstParagraph"/>
      </w:pPr>
      <w:r>
        <w:t xml:space="preserve">Beispiele für sinnvolles Handeln:</w:t>
      </w:r>
    </w:p>
    <w:p>
      <w:pPr>
        <w:numPr>
          <w:ilvl w:val="0"/>
          <w:numId w:val="1027"/>
        </w:numPr>
        <w:pStyle w:val="Compact"/>
      </w:pPr>
      <w:r>
        <w:t xml:space="preserve">„Datei nicht gefunden“ → Pfad, Dateiname, Speicherort und Netzwerk prüfen</w:t>
      </w:r>
    </w:p>
    <w:p>
      <w:pPr>
        <w:numPr>
          <w:ilvl w:val="0"/>
          <w:numId w:val="1027"/>
        </w:numPr>
        <w:pStyle w:val="Compact"/>
      </w:pPr>
      <w:r>
        <w:t xml:space="preserve">„Keine Berechtigung“ → Freigabe/Zugriffsrechte prüfen, nicht Schutzmechanismen umgehen</w:t>
      </w:r>
    </w:p>
    <w:p>
      <w:pPr>
        <w:numPr>
          <w:ilvl w:val="0"/>
          <w:numId w:val="1027"/>
        </w:numPr>
        <w:pStyle w:val="Compact"/>
      </w:pPr>
      <w:r>
        <w:t xml:space="preserve">„Datei bereits vorhanden“ → Version und Zielordner prüfen, nicht blind überschreiben</w:t>
      </w:r>
    </w:p>
    <w:bookmarkEnd w:id="84"/>
    <w:bookmarkStart w:id="85" w:name="material"/>
    <w:p>
      <w:pPr>
        <w:pStyle w:val="Heading2"/>
      </w:pPr>
      <w:r>
        <w:t xml:space="preserve">Material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wählen, Rechte/Freigaben prüfen.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2026-08-18T08:46:06Z</dcterms:created>
  <dcterms:modified xsi:type="dcterms:W3CDTF">2026-08-18T08:46:06Z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