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material-m01-smartphone-nach-evas"/>
    <w:p>
      <w:pPr>
        <w:pStyle w:val="Heading1"/>
      </w:pPr>
      <w:r>
        <w:t xml:space="preserve">Material M01 – Smartphone nach EVAS</w:t>
      </w:r>
    </w:p>
    <w:p>
      <w:pPr>
        <w:pStyle w:val="FirstParagraph"/>
      </w:pPr>
      <w:r>
        <w:t xml:space="preserve">Ordnet für ein Smartphone konkrete Beispiele zu: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Gerät/Funktion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 oder Wirkung?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Verarbeitung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Ausgabe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Speicherung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Mehrfachzuordnungen. Achtet darauf, nicht nur Bauteile, sondern auch die verarbeiteten Informationen zu benennen.</w:t>
      </w:r>
    </w:p>
    <w:bookmarkEnd w:id="2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2026-08-18T08:45:48Z</dcterms:created>
  <dcterms:modified xsi:type="dcterms:W3CDTF">2026-08-18T08:45:48Z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Material</vt:lpwstr>
  </property>
  <property fmtid="{D5CDD505-2E9C-101B-9397-08002B2CF9AE}" pid="3" name="toc-title">
    <vt:lpwstr>Inhaltsverzeichnis</vt:lpwstr>
  </property>
</Properties>
</file>