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Dokumentation</w:t>
      </w:r>
    </w:p>
    <w:p>
      <w:pPr>
        <w:pStyle w:val="Subtitle"/>
      </w:pPr>
      <w:r>
        <w:t xml:space="preserve">Didaktik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didaktik"/>
    <w:p>
      <w:pPr>
        <w:pStyle w:val="Heading1"/>
      </w:pPr>
      <w:r>
        <w:t xml:space="preserve">Didaktik</w:t>
      </w:r>
    </w:p>
    <w:p>
      <w:pPr>
        <w:pStyle w:val="FirstParagraph"/>
      </w:pPr>
      <w:r>
        <w:t xml:space="preserve">Dieser Ordner beschreibt die didaktischen Leitlinien des Lehrwerks.</w:t>
      </w:r>
    </w:p>
    <w:p>
      <w:r>
        <w:br w:type="page"/>
      </w:r>
    </w:p>
    <w:bookmarkEnd w:id="20"/>
    <w:bookmarkStart w:id="21" w:name="leitbild"/>
    <w:p>
      <w:pPr>
        <w:pStyle w:val="Heading1"/>
      </w:pPr>
      <w:r>
        <w:t xml:space="preserve">Leitbild</w:t>
      </w:r>
    </w:p>
    <w:p>
      <w:pPr>
        <w:pStyle w:val="FirstParagraph"/>
      </w:pPr>
      <w:r>
        <w:t xml:space="preserve">Das Lehrwerk fördert informatisches Denken.</w:t>
      </w:r>
    </w:p>
    <w:p>
      <w:pPr>
        <w:pStyle w:val="BodyText"/>
      </w:pPr>
      <w:r>
        <w:t xml:space="preserve">Programmiersprachen sind Werkzeuge, nicht Lernziel.</w:t>
      </w:r>
    </w:p>
    <w:p>
      <w:r>
        <w:br w:type="page"/>
      </w:r>
    </w:p>
    <w:bookmarkEnd w:id="21"/>
    <w:bookmarkStart w:id="22" w:name="kompetenzorientierung"/>
    <w:p>
      <w:pPr>
        <w:pStyle w:val="Heading1"/>
      </w:pPr>
      <w:r>
        <w:t xml:space="preserve">Kompetenzorientierung</w:t>
      </w:r>
    </w:p>
    <w:p>
      <w:pPr>
        <w:pStyle w:val="FirstParagraph"/>
      </w:pPr>
      <w:r>
        <w:t xml:space="preserve">Im Mittelpunkt stehen Problemlösen, Modellieren, Algorithmen entwickeln, Testen und Reflektieren.</w:t>
      </w:r>
    </w:p>
    <w:p>
      <w:r>
        <w:br w:type="page"/>
      </w:r>
    </w:p>
    <w:bookmarkEnd w:id="22"/>
    <w:bookmarkStart w:id="23" w:name="kai"/>
    <w:p>
      <w:pPr>
        <w:pStyle w:val="Heading1"/>
      </w:pPr>
      <w:r>
        <w:t xml:space="preserve">KAI</w:t>
      </w:r>
    </w:p>
    <w:p>
      <w:pPr>
        <w:pStyle w:val="FirstParagraph"/>
      </w:pPr>
      <w:r>
        <w:t xml:space="preserve">KAI ergänzt keine Informationen, rät nicht und führt Anweisungen exakt aus.</w:t>
      </w:r>
    </w:p>
    <w:p>
      <w:r>
        <w:br w:type="page"/>
      </w:r>
    </w:p>
    <w:bookmarkEnd w:id="23"/>
    <w:bookmarkStart w:id="24" w:name="problemorientierung"/>
    <w:p>
      <w:pPr>
        <w:pStyle w:val="Heading1"/>
      </w:pPr>
      <w:r>
        <w:t xml:space="preserve">Problemorientierung</w:t>
      </w:r>
    </w:p>
    <w:p>
      <w:pPr>
        <w:pStyle w:val="FirstParagraph"/>
      </w:pPr>
      <w:r>
        <w:t xml:space="preserve">Neue Inhalte beginnen möglichst mit einer Problemstellung aus dem Alltag.</w:t>
      </w:r>
    </w:p>
    <w:p>
      <w:r>
        <w:br w:type="page"/>
      </w:r>
    </w:p>
    <w:bookmarkEnd w:id="24"/>
    <w:bookmarkStart w:id="25" w:name="differenzierung"/>
    <w:p>
      <w:pPr>
        <w:pStyle w:val="Heading1"/>
      </w:pPr>
      <w:r>
        <w:t xml:space="preserve">Differenzierung</w:t>
      </w:r>
    </w:p>
    <w:p>
      <w:pPr>
        <w:pStyle w:val="FirstParagraph"/>
      </w:pPr>
      <w:r>
        <w:t xml:space="preserve">Pflicht-, Wahl- und Vertiefungsaufgaben ermöglichen individuelles Lernen.</w:t>
      </w:r>
    </w:p>
    <w:p>
      <w:r>
        <w:br w:type="page"/>
      </w:r>
    </w:p>
    <w:bookmarkEnd w:id="25"/>
    <w:bookmarkStart w:id="26" w:name="fehlerkultur"/>
    <w:p>
      <w:pPr>
        <w:pStyle w:val="Heading1"/>
      </w:pPr>
      <w:r>
        <w:t xml:space="preserve">Fehlerkultur</w:t>
      </w:r>
    </w:p>
    <w:p>
      <w:pPr>
        <w:pStyle w:val="FirstParagraph"/>
      </w:pPr>
      <w:r>
        <w:t xml:space="preserve">Fehler sind Bestandteil des Lernprozesses. Debugging und Reflexion werden gezielt gefördert.</w:t>
      </w:r>
    </w:p>
    <w:p>
      <w:r>
        <w:br w:type="page"/>
      </w:r>
    </w:p>
    <w:bookmarkEnd w:id="26"/>
    <w:bookmarkStart w:id="27" w:name="projektarbeit"/>
    <w:p>
      <w:pPr>
        <w:pStyle w:val="Heading1"/>
      </w:pPr>
      <w:r>
        <w:t xml:space="preserve">Projektarbeit</w:t>
      </w:r>
    </w:p>
    <w:p>
      <w:pPr>
        <w:pStyle w:val="FirstParagraph"/>
      </w:pPr>
      <w:r>
        <w:t xml:space="preserve">Komplexe Aufgaben werden iterativ und inkrementell entwickelt.</w:t>
      </w:r>
    </w:p>
    <w:p>
      <w:r>
        <w:br w:type="page"/>
      </w:r>
    </w:p>
    <w:bookmarkEnd w:id="27"/>
    <w:bookmarkStart w:id="28" w:name="bewertung"/>
    <w:p>
      <w:pPr>
        <w:pStyle w:val="Heading1"/>
      </w:pPr>
      <w:r>
        <w:t xml:space="preserve">Bewertung</w:t>
      </w:r>
    </w:p>
    <w:p>
      <w:pPr>
        <w:pStyle w:val="FirstParagraph"/>
      </w:pPr>
      <w:r>
        <w:t xml:space="preserve">Bewertet werden Lösungsweg, Begründung, Qualität und Reflexion – nicht nur das Endergebnis.</w:t>
      </w:r>
    </w:p>
    <w:p>
      <w:r>
        <w:br w:type="page"/>
      </w:r>
    </w:p>
    <w:bookmarkEnd w:id="28"/>
    <w:bookmarkStart w:id="29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Ein Kapitel gilt erst als abgeschlossen, wenn Arbeitsheft, Lehrerband, Materialien, Lösungen, Quellen und QS vollständig vorliegen.</w:t>
      </w:r>
    </w:p>
    <w:bookmarkEnd w:id="2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v0.4.0-376-g6ba679b-dirty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Dokumentation</dc:title>
  <dc:creator/>
  <dc:language>de-DE</dc:language>
  <cp:keywords/>
  <dcterms:created xsi:type="dcterms:W3CDTF">2026-08-17T19:15:25Z</dcterms:created>
  <dcterms:modified xsi:type="dcterms:W3CDTF">2026-08-17T19:15:25Z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Didaktik</vt:lpwstr>
  </property>
  <property fmtid="{D5CDD505-2E9C-101B-9397-08002B2CF9AE}" pid="3" name="toc-title">
    <vt:lpwstr>Inhaltsverzeichnis</vt:lpwstr>
  </property>
</Properties>
</file>