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7</w:t>
      </w:r>
    </w:p>
    <w:p>
      <w:pPr>
        <w:pStyle w:val="Subtitle"/>
      </w:pPr>
      <w:r>
        <w:t xml:space="preserve">Informatik · Klasse 7 · Klasse 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klasse-7-informatik"/>
    <w:p>
      <w:pPr>
        <w:pStyle w:val="Heading1"/>
      </w:pPr>
      <w:r>
        <w:t xml:space="preserve">Klasse 7 – Informatik</w:t>
      </w:r>
    </w:p>
    <w:p>
      <w:pPr>
        <w:pStyle w:val="FirstParagraph"/>
      </w:pPr>
      <w:r>
        <w:t xml:space="preserve">Grundlage ist der sächsische Lehrplan Informatik Oberschule 2022.</w:t>
      </w:r>
    </w:p>
    <w:bookmarkStart w:id="22" w:name="verbindliche-lernbereiche"/>
    <w:p>
      <w:pPr>
        <w:pStyle w:val="Heading2"/>
      </w:pPr>
      <w:r>
        <w:t xml:space="preserve">Verbindliche Lernbereiche</w:t>
      </w:r>
    </w:p>
    <w:bookmarkStart w:id="20" w:name="informatik-im-alltag-10-ustd."/>
    <w:p>
      <w:pPr>
        <w:pStyle w:val="Heading3"/>
      </w:pPr>
      <w:r>
        <w:t xml:space="preserve">1. Informatik im Alltag – 10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01_Informatik_im_Alltag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1"/>
        </w:numPr>
        <w:pStyle w:val="Compact"/>
      </w:pPr>
      <w:r>
        <w:t xml:space="preserve">Entwicklung der Informatik und Rechentechnik sowie aktuelle Entwicklungstendenzen</w:t>
      </w:r>
    </w:p>
    <w:p>
      <w:pPr>
        <w:numPr>
          <w:ilvl w:val="0"/>
          <w:numId w:val="1001"/>
        </w:numPr>
        <w:pStyle w:val="Compact"/>
      </w:pPr>
      <w:r>
        <w:t xml:space="preserve">Digitalisierung, Automatisierung und Vernetzung im Alltag</w:t>
      </w:r>
    </w:p>
    <w:p>
      <w:pPr>
        <w:numPr>
          <w:ilvl w:val="0"/>
          <w:numId w:val="1001"/>
        </w:numPr>
        <w:pStyle w:val="Compact"/>
      </w:pPr>
      <w:r>
        <w:t xml:space="preserve">allgemeiner Aufbau eines Informatiksystems und EVA-Prinzip</w:t>
      </w:r>
    </w:p>
    <w:p>
      <w:pPr>
        <w:numPr>
          <w:ilvl w:val="0"/>
          <w:numId w:val="1001"/>
        </w:numPr>
        <w:pStyle w:val="Compact"/>
      </w:pPr>
      <w:r>
        <w:t xml:space="preserve">Hardware und Software sowie deren Zusammenwirken</w:t>
      </w:r>
    </w:p>
    <w:p>
      <w:pPr>
        <w:numPr>
          <w:ilvl w:val="0"/>
          <w:numId w:val="1001"/>
        </w:numPr>
        <w:pStyle w:val="Compact"/>
      </w:pPr>
      <w:r>
        <w:t xml:space="preserve">Lizenzformen: kostenpflichtig/frei, proprietär/Open Source</w:t>
      </w:r>
    </w:p>
    <w:p>
      <w:pPr>
        <w:numPr>
          <w:ilvl w:val="0"/>
          <w:numId w:val="1001"/>
        </w:numPr>
        <w:pStyle w:val="Compact"/>
      </w:pPr>
      <w:r>
        <w:t xml:space="preserve">Speicher: Eigenschaften, Speicherarten und Anwendungsgebiete</w:t>
      </w:r>
    </w:p>
    <w:p>
      <w:pPr>
        <w:numPr>
          <w:ilvl w:val="0"/>
          <w:numId w:val="1001"/>
        </w:numPr>
        <w:pStyle w:val="Compact"/>
      </w:pPr>
      <w:r>
        <w:t xml:space="preserve">binäre Zustände, Bit/Byte und Größenordnungen von Datenmengen</w:t>
      </w:r>
    </w:p>
    <w:p>
      <w:pPr>
        <w:numPr>
          <w:ilvl w:val="0"/>
          <w:numId w:val="1001"/>
        </w:numPr>
        <w:pStyle w:val="Compact"/>
      </w:pPr>
      <w:r>
        <w:t xml:space="preserve">Datei, Dateityp, Ordner und Pfad</w:t>
      </w:r>
    </w:p>
    <w:p>
      <w:pPr>
        <w:numPr>
          <w:ilvl w:val="0"/>
          <w:numId w:val="1001"/>
        </w:numPr>
        <w:pStyle w:val="Compact"/>
      </w:pPr>
      <w:r>
        <w:t xml:space="preserve">Datei- und Ordneroperationen sowie lokale, vernetzte und webbasierte Speicher</w:t>
      </w:r>
    </w:p>
    <w:p>
      <w:pPr>
        <w:pStyle w:val="FirstParagraph"/>
      </w:pPr>
      <w:r>
        <w:t xml:space="preserve">Die vorhandenen Vertiefungen zu Binärzahlen, Text-, Bild- und Audiodaten dienen der Anschaulichkeit und Differenzierung. Umrechnungsverfahren und Binäraddition sind keine eigenständigen verbindlichen Lehrplanforderungen der Klassenstufe 7 und werden deshalb nicht als Kernstoff für Leistungskontrollen behandelt.</w:t>
      </w:r>
    </w:p>
    <w:bookmarkEnd w:id="20"/>
    <w:bookmarkStart w:id="21" w:name="repräsentation-von-daten-15-ustd."/>
    <w:p>
      <w:pPr>
        <w:pStyle w:val="Heading3"/>
      </w:pPr>
      <w:r>
        <w:t xml:space="preserve">2. Repräsentation von Daten – 15 Ustd.</w:t>
      </w:r>
    </w:p>
    <w:p>
      <w:pPr>
        <w:pStyle w:val="FirstParagraph"/>
      </w:pPr>
      <w:r>
        <w:t xml:space="preserve">Material:</w:t>
      </w:r>
      <w:r>
        <w:t xml:space="preserve"> </w:t>
      </w:r>
      <w:r>
        <w:rPr>
          <w:rStyle w:val="VerbatimChar"/>
        </w:rPr>
        <w:t xml:space="preserve">02_Repraesentation_von_Daten</w:t>
      </w:r>
    </w:p>
    <w:p>
      <w:pPr>
        <w:pStyle w:val="BodyText"/>
      </w:pPr>
      <w:r>
        <w:t xml:space="preserve">Verbindliche Schwerpunkte:</w:t>
      </w:r>
    </w:p>
    <w:p>
      <w:pPr>
        <w:numPr>
          <w:ilvl w:val="0"/>
          <w:numId w:val="1002"/>
        </w:numPr>
        <w:pStyle w:val="Compact"/>
      </w:pPr>
      <w:r>
        <w:t xml:space="preserve">Information und Daten unterscheiden; Darstellungsformen vergleichen</w:t>
      </w:r>
    </w:p>
    <w:p>
      <w:pPr>
        <w:numPr>
          <w:ilvl w:val="0"/>
          <w:numId w:val="1002"/>
        </w:numPr>
        <w:pStyle w:val="Compact"/>
      </w:pPr>
      <w:r>
        <w:t xml:space="preserve">informatische Konzepte auf die Erstellung digitaler Medien übertragen</w:t>
      </w:r>
    </w:p>
    <w:p>
      <w:pPr>
        <w:numPr>
          <w:ilvl w:val="0"/>
          <w:numId w:val="1002"/>
        </w:numPr>
        <w:pStyle w:val="Compact"/>
      </w:pPr>
      <w:r>
        <w:t xml:space="preserve">Objektorientierung: Klasse, Objekt, Attribut, Attributwert und Methode</w:t>
      </w:r>
    </w:p>
    <w:p>
      <w:pPr>
        <w:numPr>
          <w:ilvl w:val="0"/>
          <w:numId w:val="1002"/>
        </w:numPr>
        <w:pStyle w:val="Compact"/>
      </w:pPr>
      <w:r>
        <w:t xml:space="preserve">Klassen bilden und konkrete Objekte dem Modell Klasse–Objekt–Attribut–Attributwert zuordnen</w:t>
      </w:r>
    </w:p>
    <w:p>
      <w:pPr>
        <w:numPr>
          <w:ilvl w:val="0"/>
          <w:numId w:val="1002"/>
        </w:numPr>
        <w:pStyle w:val="Compact"/>
      </w:pPr>
      <w:r>
        <w:t xml:space="preserve">Methoden zum Ändern von Attributwerten und vereinfachte Darstellungen von Klassen/Objekten</w:t>
      </w:r>
    </w:p>
    <w:p>
      <w:pPr>
        <w:numPr>
          <w:ilvl w:val="0"/>
          <w:numId w:val="1002"/>
        </w:numPr>
        <w:pStyle w:val="Compact"/>
      </w:pPr>
      <w:r>
        <w:t xml:space="preserve">Inhalt und Design trennen sowie Automatisierung bei der Informationsverarbeitung erkennen</w:t>
      </w:r>
    </w:p>
    <w:p>
      <w:pPr>
        <w:numPr>
          <w:ilvl w:val="0"/>
          <w:numId w:val="1002"/>
        </w:numPr>
        <w:pStyle w:val="Compact"/>
      </w:pPr>
      <w:r>
        <w:t xml:space="preserve">problembezogen geeignete Anwendersoftware auswählen und weitere Anwendungssoftware kennenlernen</w:t>
      </w:r>
    </w:p>
    <w:p>
      <w:pPr>
        <w:numPr>
          <w:ilvl w:val="0"/>
          <w:numId w:val="1002"/>
        </w:numPr>
        <w:pStyle w:val="Compact"/>
      </w:pPr>
      <w:r>
        <w:t xml:space="preserve">Urheber- und Persönlichkeitsrechte, Quellenangaben, Zitatrecht und Plagiat</w:t>
      </w:r>
    </w:p>
    <w:p>
      <w:pPr>
        <w:numPr>
          <w:ilvl w:val="0"/>
          <w:numId w:val="1002"/>
        </w:numPr>
        <w:pStyle w:val="Compact"/>
      </w:pPr>
      <w:r>
        <w:t xml:space="preserve">Datenschutz und Datensicherheit, Inhalts- und Metadaten, Schutz von Dokumenten</w:t>
      </w:r>
    </w:p>
    <w:p>
      <w:pPr>
        <w:numPr>
          <w:ilvl w:val="0"/>
          <w:numId w:val="1002"/>
        </w:numPr>
        <w:pStyle w:val="Compact"/>
      </w:pPr>
      <w:r>
        <w:t xml:space="preserve">Erstellung, Manipulation und Verbreitung von Informationen und Medien durch Menschen und Automaten</w:t>
      </w:r>
    </w:p>
    <w:bookmarkEnd w:id="21"/>
    <w:bookmarkEnd w:id="22"/>
    <w:bookmarkStart w:id="23" w:name="wahlbereiche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drei Wahlbereiche entsprechen dem Lehrplan 2022: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04_Wahlbereich_KI</w:t>
      </w:r>
      <w:r>
        <w:t xml:space="preserve"> </w:t>
      </w:r>
      <w:r>
        <w:t xml:space="preserve">– Künstliche Intelligenz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05_Wahlbereich_Mobile_Endgeraete</w:t>
      </w:r>
      <w:r>
        <w:t xml:space="preserve"> </w:t>
      </w:r>
      <w:r>
        <w:t xml:space="preserve">– Mobile Endgeräte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06_Wahlbereich_Computergrafik</w:t>
      </w:r>
      <w:r>
        <w:t xml:space="preserve"> </w:t>
      </w:r>
      <w:r>
        <w:t xml:space="preserve">– Computergrafik</w:t>
      </w:r>
    </w:p>
    <w:p>
      <w:pPr>
        <w:pStyle w:val="FirstParagraph"/>
      </w:pPr>
      <w:r>
        <w:t xml:space="preserve">Ein Wahlbereich kann ergänzend zum Pflichtunterricht bearbeitet werden.</w:t>
      </w:r>
    </w:p>
    <w:bookmarkEnd w:id="23"/>
    <w:bookmarkStart w:id="24" w:name="abgrenzung-zu-klasse-8"/>
    <w:p>
      <w:pPr>
        <w:pStyle w:val="Heading2"/>
      </w:pPr>
      <w:r>
        <w:t xml:space="preserve">Abgrenzung zu Klasse 8</w:t>
      </w:r>
    </w:p>
    <w:p>
      <w:pPr>
        <w:pStyle w:val="FirstParagraph"/>
      </w:pPr>
      <w:r>
        <w:t xml:space="preserve">Ein eigenständiger Pflichtlernbereich „Algorithmen und Programmierung“ gehört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zur Klassenstufe 7. Algorithmische Grundstrukturen, visuelle Programmierumgebungen und die systematische Programmierung gehören zum Lernbereich „Algorithmen und Programme“ der Klassenstufe 8.</w:t>
      </w:r>
    </w:p>
    <w:p>
      <w:pPr>
        <w:pStyle w:val="BodyText"/>
      </w:pPr>
      <w:r>
        <w:t xml:space="preserve">Das bisherige Scratch-Material aus Klasse 7 wurde deshalb ohne Inhaltsverlust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verschoben. Es ist dort als Zusatz-/Differenzierungsmaterial gekennzeichnet und nicht mehr Bestandteil des Klasse-7-Pflichtcurriculums.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Leistungskontrollen in Klasse 7 beziehen sich auf die verbindlichen Inhalte der beiden Pflichtlernbereiche. Vorhandene Vertiefungen können zum Üben und Differenzieren genutzt werden, werden aber nicht allein deshalb zu verbindlichem Prüfungsstoff.</w:t>
      </w:r>
    </w:p>
    <w:p>
      <w:r>
        <w:br w:type="page"/>
      </w:r>
    </w:p>
    <w:bookmarkEnd w:id="25"/>
    <w:bookmarkEnd w:id="26"/>
    <w:bookmarkStart w:id="37" w:name="meilensteine-klasse-7"/>
    <w:p>
      <w:pPr>
        <w:pStyle w:val="Heading1"/>
      </w:pPr>
      <w:r>
        <w:t xml:space="preserve">Meilensteine – Klasse 7</w:t>
      </w:r>
    </w:p>
    <w:bookmarkStart w:id="27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2022: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Informatik im Alltag</w:t>
      </w:r>
      <w:r>
        <w:t xml:space="preserve"> </w:t>
      </w:r>
      <w:r>
        <w:t xml:space="preserve">– 10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Repräsentation von Daten</w:t>
      </w:r>
      <w:r>
        <w:t xml:space="preserve"> </w:t>
      </w:r>
      <w:r>
        <w:t xml:space="preserve">– 15 Ustd.</w:t>
      </w:r>
    </w:p>
    <w:p>
      <w:pPr>
        <w:numPr>
          <w:ilvl w:val="0"/>
          <w:numId w:val="1004"/>
        </w:numPr>
        <w:pStyle w:val="Compact"/>
      </w:pPr>
      <w:r>
        <w:t xml:space="preserve">Wahlbereiche:</w:t>
      </w:r>
      <w:r>
        <w:t xml:space="preserve"> </w:t>
      </w:r>
      <w:r>
        <w:rPr>
          <w:bCs/>
          <w:b/>
        </w:rPr>
        <w:t xml:space="preserve">Künstliche Intelligenz</w:t>
      </w:r>
      <w:r>
        <w:t xml:space="preserve">,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  <w:r>
        <w:t xml:space="preserve"> </w:t>
      </w:r>
      <w:r>
        <w:rPr>
          <w:bCs/>
          <w:b/>
        </w:rPr>
        <w:t xml:space="preserve">Computergrafik</w:t>
      </w:r>
    </w:p>
    <w:bookmarkEnd w:id="27"/>
    <w:bookmarkStart w:id="30" w:name="lernbereich-1-informatik-im-alltag"/>
    <w:p>
      <w:pPr>
        <w:pStyle w:val="Heading2"/>
      </w:pPr>
      <w:r>
        <w:t xml:space="preserve">Lernbereich 1 – Informatik im Alltag</w:t>
      </w:r>
    </w:p>
    <w:bookmarkStart w:id="28" w:name="arbeitsheft-und-lehrerband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5"/>
        </w:numPr>
        <w:pStyle w:val="Compact"/>
      </w:pPr>
      <w:r>
        <w:t xml:space="preserve">☒ Entwicklung der Informatik/Rechentechnik</w:t>
      </w:r>
    </w:p>
    <w:p>
      <w:pPr>
        <w:numPr>
          <w:ilvl w:val="0"/>
          <w:numId w:val="1005"/>
        </w:numPr>
        <w:pStyle w:val="Compact"/>
      </w:pPr>
      <w:r>
        <w:t xml:space="preserve">☒ Digitalisierung, Automatisierung und Vernetzung ausdrücklich systematisiert</w:t>
      </w:r>
    </w:p>
    <w:p>
      <w:pPr>
        <w:numPr>
          <w:ilvl w:val="0"/>
          <w:numId w:val="1005"/>
        </w:numPr>
        <w:pStyle w:val="Compact"/>
      </w:pPr>
      <w:r>
        <w:t xml:space="preserve">☒ EVA/EVAS und Blockbild eines Informatiksystems</w:t>
      </w:r>
    </w:p>
    <w:p>
      <w:pPr>
        <w:numPr>
          <w:ilvl w:val="0"/>
          <w:numId w:val="1005"/>
        </w:numPr>
        <w:pStyle w:val="Compact"/>
      </w:pPr>
      <w:r>
        <w:t xml:space="preserve">☒ Hardware und Software einschließlich Betriebssystem, Anwendungen und Tools</w:t>
      </w:r>
    </w:p>
    <w:p>
      <w:pPr>
        <w:numPr>
          <w:ilvl w:val="0"/>
          <w:numId w:val="1005"/>
        </w:numPr>
        <w:pStyle w:val="Compact"/>
      </w:pPr>
      <w:r>
        <w:t xml:space="preserve">☒ technische Angaben von Hardwarekomponenten grundlegend eingeordnet</w:t>
      </w:r>
    </w:p>
    <w:p>
      <w:pPr>
        <w:numPr>
          <w:ilvl w:val="0"/>
          <w:numId w:val="1005"/>
        </w:numPr>
        <w:pStyle w:val="Compact"/>
      </w:pPr>
      <w:r>
        <w:t xml:space="preserve">☒ Lizenzformen: kostenpflichtig/kostenlos sowie proprietär/Open Source</w:t>
      </w:r>
    </w:p>
    <w:p>
      <w:pPr>
        <w:numPr>
          <w:ilvl w:val="0"/>
          <w:numId w:val="1005"/>
        </w:numPr>
        <w:pStyle w:val="Compact"/>
      </w:pPr>
      <w:r>
        <w:t xml:space="preserve">☒ Speicher nach Zugriffsart, Zugriffszeit, Zuverlässigkeit und Bauform</w:t>
      </w:r>
    </w:p>
    <w:p>
      <w:pPr>
        <w:numPr>
          <w:ilvl w:val="0"/>
          <w:numId w:val="1005"/>
        </w:numPr>
        <w:pStyle w:val="Compact"/>
      </w:pPr>
      <w:r>
        <w:t xml:space="preserve">☒ flüchtige/nichtflüchtige sowie lokale, Wechsel-, Netzwerk- und Cloudspeicher</w:t>
      </w:r>
    </w:p>
    <w:p>
      <w:pPr>
        <w:numPr>
          <w:ilvl w:val="0"/>
          <w:numId w:val="1005"/>
        </w:numPr>
        <w:pStyle w:val="Compact"/>
      </w:pPr>
      <w:r>
        <w:t xml:space="preserve">☒ Systembereitschaft, Anmeldung/Netzwerk und Umgang mit Systemmeldungen</w:t>
      </w:r>
    </w:p>
    <w:p>
      <w:pPr>
        <w:numPr>
          <w:ilvl w:val="0"/>
          <w:numId w:val="1005"/>
        </w:numPr>
        <w:pStyle w:val="Compact"/>
      </w:pPr>
      <w:r>
        <w:t xml:space="preserve">☒ Dateien, Dateitypen, Ordner, Pfade und Dateioperationen</w:t>
      </w:r>
    </w:p>
    <w:p>
      <w:pPr>
        <w:pStyle w:val="FirstParagraph"/>
      </w:pPr>
      <w:r>
        <w:t xml:space="preserve">Die vorhandenen ausführlichen Binärumrechnungen sowie Text-/Bild-/Audio-Codierung bleiben als</w:t>
      </w:r>
      <w:r>
        <w:t xml:space="preserve"> </w:t>
      </w:r>
      <w:r>
        <w:rPr>
          <w:bCs/>
          <w:b/>
        </w:rPr>
        <w:t xml:space="preserve">Vertiefungs- bzw. Brückenmaterial</w:t>
      </w:r>
      <w:r>
        <w:t xml:space="preserve"> </w:t>
      </w:r>
      <w:r>
        <w:t xml:space="preserve">gekennzeichnet und werden nicht als zusätzlicher verbindlicher Kernstoff behandelt.</w:t>
      </w:r>
    </w:p>
    <w:bookmarkEnd w:id="28"/>
    <w:bookmarkStart w:id="29" w:name="werkteil-konsistenz"/>
    <w:p>
      <w:pPr>
        <w:pStyle w:val="Heading3"/>
      </w:pPr>
      <w:r>
        <w:t xml:space="preserve">Werkteil-Konsistenz</w:t>
      </w:r>
    </w:p>
    <w:p>
      <w:pPr>
        <w:numPr>
          <w:ilvl w:val="0"/>
          <w:numId w:val="1006"/>
        </w:numPr>
        <w:pStyle w:val="Compact"/>
      </w:pPr>
      <w:r>
        <w:t xml:space="preserve">☒ Präsentations-MD zu 07–09 gegen die ergänzten Pflichtinhalte gespiegelt</w:t>
      </w:r>
    </w:p>
    <w:p>
      <w:pPr>
        <w:numPr>
          <w:ilvl w:val="0"/>
          <w:numId w:val="1006"/>
        </w:numPr>
        <w:pStyle w:val="Compact"/>
      </w:pPr>
      <w:r>
        <w:t xml:space="preserve">☒ Material zu Systembereitschaft, Lizenzformen und Speicher ergänzt</w:t>
      </w:r>
    </w:p>
    <w:p>
      <w:pPr>
        <w:numPr>
          <w:ilvl w:val="0"/>
          <w:numId w:val="1006"/>
        </w:numPr>
        <w:pStyle w:val="Compact"/>
      </w:pPr>
      <w:r>
        <w:t xml:space="preserve">☒ Lernkontrolle auf verbindlichen Prüfungsstoff und neue Kernbegriffe geprüft und ersetzt</w:t>
      </w:r>
    </w:p>
    <w:p>
      <w:pPr>
        <w:numPr>
          <w:ilvl w:val="0"/>
          <w:numId w:val="1006"/>
        </w:numPr>
        <w:pStyle w:val="Compact"/>
      </w:pPr>
      <w:r>
        <w:t xml:space="preserve">☒ Lösung zur Lernkontrolle angepasst</w:t>
      </w:r>
    </w:p>
    <w:p>
      <w:pPr>
        <w:numPr>
          <w:ilvl w:val="0"/>
          <w:numId w:val="1006"/>
        </w:numPr>
        <w:pStyle w:val="Compact"/>
      </w:pPr>
      <w:r>
        <w:t xml:space="preserve">☐ vorhandene PPTX-Master visuell gegen den aktualisierten Folienplan prüfen bzw. neu erzeugen</w:t>
      </w:r>
    </w:p>
    <w:bookmarkEnd w:id="29"/>
    <w:bookmarkEnd w:id="30"/>
    <w:bookmarkStart w:id="33" w:name="lernbereich-2-repräsentation-von-daten"/>
    <w:p>
      <w:pPr>
        <w:pStyle w:val="Heading2"/>
      </w:pPr>
      <w:r>
        <w:t xml:space="preserve">Lernbereich 2 – Repräsentation von Daten</w:t>
      </w:r>
    </w:p>
    <w:bookmarkStart w:id="31" w:name="arbeitsheft-und-lehrerband-1"/>
    <w:p>
      <w:pPr>
        <w:pStyle w:val="Heading3"/>
      </w:pPr>
      <w:r>
        <w:t xml:space="preserve">Arbeitsheft und Lehrerband</w:t>
      </w:r>
    </w:p>
    <w:p>
      <w:pPr>
        <w:numPr>
          <w:ilvl w:val="0"/>
          <w:numId w:val="1007"/>
        </w:numPr>
        <w:pStyle w:val="Compact"/>
      </w:pPr>
      <w:r>
        <w:t xml:space="preserve">☒ Information und Daten</w:t>
      </w:r>
    </w:p>
    <w:p>
      <w:pPr>
        <w:numPr>
          <w:ilvl w:val="0"/>
          <w:numId w:val="1007"/>
        </w:numPr>
        <w:pStyle w:val="Compact"/>
      </w:pPr>
      <w:r>
        <w:t xml:space="preserve">☒ Vielfalt der Darstellungsformen und digitale Medien</w:t>
      </w:r>
    </w:p>
    <w:p>
      <w:pPr>
        <w:numPr>
          <w:ilvl w:val="0"/>
          <w:numId w:val="1007"/>
        </w:numPr>
        <w:pStyle w:val="Compact"/>
      </w:pPr>
      <w:r>
        <w:t xml:space="preserve">☒ problembezogene Auswahl von Anwendersoftware</w:t>
      </w:r>
    </w:p>
    <w:p>
      <w:pPr>
        <w:numPr>
          <w:ilvl w:val="0"/>
          <w:numId w:val="1007"/>
        </w:numPr>
        <w:pStyle w:val="Compact"/>
      </w:pPr>
      <w:r>
        <w:t xml:space="preserve">☒ weitere Anwendungssoftware als praktische Erweiterung vorgesehen</w:t>
      </w:r>
    </w:p>
    <w:p>
      <w:pPr>
        <w:numPr>
          <w:ilvl w:val="0"/>
          <w:numId w:val="1007"/>
        </w:numPr>
        <w:pStyle w:val="Compact"/>
      </w:pPr>
      <w:r>
        <w:t xml:space="preserve">☒ Trennung von Inhalt und Design</w:t>
      </w:r>
    </w:p>
    <w:p>
      <w:pPr>
        <w:numPr>
          <w:ilvl w:val="0"/>
          <w:numId w:val="1007"/>
        </w:numPr>
        <w:pStyle w:val="Compact"/>
      </w:pPr>
      <w:r>
        <w:t xml:space="preserve">☒ Automatisierung der Informationsverarbeitung mit konkretem Eingabe–Verarbeitung–Ergebnis-Schema</w:t>
      </w:r>
    </w:p>
    <w:p>
      <w:pPr>
        <w:numPr>
          <w:ilvl w:val="0"/>
          <w:numId w:val="1007"/>
        </w:numPr>
        <w:pStyle w:val="Compact"/>
      </w:pPr>
      <w:r>
        <w:t xml:space="preserve">☒ Objekt, Attribut und Attributwert</w:t>
      </w:r>
    </w:p>
    <w:p>
      <w:pPr>
        <w:numPr>
          <w:ilvl w:val="0"/>
          <w:numId w:val="1007"/>
        </w:numPr>
        <w:pStyle w:val="Compact"/>
      </w:pPr>
      <w:r>
        <w:t xml:space="preserve">☒ Klasse und Methode</w:t>
      </w:r>
    </w:p>
    <w:p>
      <w:pPr>
        <w:numPr>
          <w:ilvl w:val="0"/>
          <w:numId w:val="1007"/>
        </w:numPr>
        <w:pStyle w:val="Compact"/>
      </w:pPr>
      <w:r>
        <w:t xml:space="preserve">☒ Bildung/Zuordnung von Klassen und Objekten sowie vereinfachte Darstellung</w:t>
      </w:r>
    </w:p>
    <w:p>
      <w:pPr>
        <w:numPr>
          <w:ilvl w:val="0"/>
          <w:numId w:val="1007"/>
        </w:numPr>
        <w:pStyle w:val="Compact"/>
      </w:pPr>
      <w:r>
        <w:t xml:space="preserve">☒ Unterschied zwischen Änderung eines Objekts und unveränderter Klassenbeschreibung erläutert</w:t>
      </w:r>
    </w:p>
    <w:p>
      <w:pPr>
        <w:numPr>
          <w:ilvl w:val="0"/>
          <w:numId w:val="1007"/>
        </w:numPr>
        <w:pStyle w:val="Compact"/>
      </w:pPr>
      <w:r>
        <w:t xml:space="preserve">☒ Urheberrecht, Persönlichkeitsrechte, Quellenangaben, Zitat und Plagiat</w:t>
      </w:r>
    </w:p>
    <w:p>
      <w:pPr>
        <w:numPr>
          <w:ilvl w:val="0"/>
          <w:numId w:val="1007"/>
        </w:numPr>
        <w:pStyle w:val="Compact"/>
      </w:pPr>
      <w:r>
        <w:t xml:space="preserve">☒ Datenschutz/Datensicherheit sowie Inhaltsdaten und Metadaten</w:t>
      </w:r>
    </w:p>
    <w:p>
      <w:pPr>
        <w:numPr>
          <w:ilvl w:val="0"/>
          <w:numId w:val="1007"/>
        </w:numPr>
        <w:pStyle w:val="Compact"/>
      </w:pPr>
      <w:r>
        <w:t xml:space="preserve">☒ Dokumentenschutz über Zugriffsrechte, Freigaben und Sicherung betrachtet</w:t>
      </w:r>
    </w:p>
    <w:p>
      <w:pPr>
        <w:numPr>
          <w:ilvl w:val="0"/>
          <w:numId w:val="1007"/>
        </w:numPr>
        <w:pStyle w:val="Compact"/>
      </w:pPr>
      <w:r>
        <w:t xml:space="preserve">☒ Manipulation/Erzeugung von Medien durch Menschen und automatische Systeme</w:t>
      </w:r>
    </w:p>
    <w:p>
      <w:pPr>
        <w:numPr>
          <w:ilvl w:val="0"/>
          <w:numId w:val="1007"/>
        </w:numPr>
        <w:pStyle w:val="Compact"/>
      </w:pPr>
      <w:r>
        <w:t xml:space="preserve">☒ Quellen- und Kontextprüfung bei digitalen Medien</w:t>
      </w:r>
    </w:p>
    <w:bookmarkEnd w:id="31"/>
    <w:bookmarkStart w:id="32" w:name="werkteil-konsistenz-1"/>
    <w:p>
      <w:pPr>
        <w:pStyle w:val="Heading3"/>
      </w:pPr>
      <w:r>
        <w:t xml:space="preserve">Werkteil-Konsistenz</w:t>
      </w:r>
    </w:p>
    <w:p>
      <w:pPr>
        <w:numPr>
          <w:ilvl w:val="0"/>
          <w:numId w:val="1008"/>
        </w:numPr>
        <w:pStyle w:val="Compact"/>
      </w:pPr>
      <w:r>
        <w:t xml:space="preserve">☒ Präsentations-MD 01–03 und 04–06 gegen die ergänzten Pflichtinhalte gespiegelt</w:t>
      </w:r>
    </w:p>
    <w:p>
      <w:pPr>
        <w:numPr>
          <w:ilvl w:val="0"/>
          <w:numId w:val="1008"/>
        </w:numPr>
        <w:pStyle w:val="Compact"/>
      </w:pPr>
      <w:r>
        <w:t xml:space="preserve">☒ Material zu Metadaten, Dokumentenschutz, Manipulation, Zitat und Plagiat ergänzt</w:t>
      </w:r>
    </w:p>
    <w:p>
      <w:pPr>
        <w:numPr>
          <w:ilvl w:val="0"/>
          <w:numId w:val="1008"/>
        </w:numPr>
        <w:pStyle w:val="Compact"/>
      </w:pPr>
      <w:r>
        <w:t xml:space="preserve">☒ Lernkontrolle auf Metadaten, Automatisierung, Softwareauswahl und Schutzstrategien geprüft und ersetzt</w:t>
      </w:r>
    </w:p>
    <w:p>
      <w:pPr>
        <w:numPr>
          <w:ilvl w:val="0"/>
          <w:numId w:val="1008"/>
        </w:numPr>
        <w:pStyle w:val="Compact"/>
      </w:pPr>
      <w:r>
        <w:t xml:space="preserve">☒ Lösung zur Lernkontrolle angepasst</w:t>
      </w:r>
    </w:p>
    <w:p>
      <w:pPr>
        <w:numPr>
          <w:ilvl w:val="0"/>
          <w:numId w:val="1008"/>
        </w:numPr>
        <w:pStyle w:val="Compact"/>
      </w:pPr>
      <w:r>
        <w:t xml:space="preserve">☐ vorhandene PPTX-Master visuell gegen die aktualisierten Folienpläne prüfen bzw. neu erzeugen</w:t>
      </w:r>
    </w:p>
    <w:bookmarkEnd w:id="32"/>
    <w:bookmarkEnd w:id="33"/>
    <w:bookmarkStart w:id="34" w:name="abgrenzung-klasse-8"/>
    <w:p>
      <w:pPr>
        <w:pStyle w:val="Heading2"/>
      </w:pPr>
      <w:r>
        <w:t xml:space="preserve">Abgrenzung Klasse 8</w:t>
      </w:r>
    </w:p>
    <w:p>
      <w:pPr>
        <w:numPr>
          <w:ilvl w:val="0"/>
          <w:numId w:val="1009"/>
        </w:numPr>
        <w:pStyle w:val="Compact"/>
      </w:pPr>
      <w:r>
        <w:t xml:space="preserve">☒ Eigenständigen Klasse-7-Pflichtbereich „Algorithmen und Programmierung“ entfernt</w:t>
      </w:r>
    </w:p>
    <w:p>
      <w:pPr>
        <w:numPr>
          <w:ilvl w:val="0"/>
          <w:numId w:val="1009"/>
        </w:numPr>
        <w:pStyle w:val="Compact"/>
      </w:pPr>
      <w:r>
        <w:t xml:space="preserve">☒ vorhandenes Scratch-Material verlustfrei nach</w:t>
      </w:r>
      <w:r>
        <w:t xml:space="preserve"> </w:t>
      </w:r>
      <w:r>
        <w:rPr>
          <w:rStyle w:val="VerbatimChar"/>
        </w:rPr>
        <w:t xml:space="preserve">Klasse_8/90_Zusatzmaterial_Scratch_aus_Klasse7</w:t>
      </w:r>
      <w:r>
        <w:t xml:space="preserve"> </w:t>
      </w:r>
      <w:r>
        <w:t xml:space="preserve">verschoben und als Zusatzmaterial gekennzeichnet</w:t>
      </w:r>
    </w:p>
    <w:bookmarkEnd w:id="34"/>
    <w:bookmarkStart w:id="35" w:name="wahlbereiche-1"/>
    <w:p>
      <w:pPr>
        <w:pStyle w:val="Heading2"/>
      </w:pPr>
      <w:r>
        <w:t xml:space="preserve">Wahlbereiche</w:t>
      </w:r>
    </w:p>
    <w:p>
      <w:pPr>
        <w:numPr>
          <w:ilvl w:val="0"/>
          <w:numId w:val="1010"/>
        </w:numPr>
        <w:pStyle w:val="Compact"/>
      </w:pPr>
      <w:r>
        <w:t xml:space="preserve">☒ Künstliche Intelligenz strukturell vorhanden</w:t>
      </w:r>
    </w:p>
    <w:p>
      <w:pPr>
        <w:numPr>
          <w:ilvl w:val="0"/>
          <w:numId w:val="1010"/>
        </w:numPr>
        <w:pStyle w:val="Compact"/>
      </w:pPr>
      <w:r>
        <w:t xml:space="preserve">☒ Mobile Endgeräte strukturell vorhanden</w:t>
      </w:r>
    </w:p>
    <w:p>
      <w:pPr>
        <w:numPr>
          <w:ilvl w:val="0"/>
          <w:numId w:val="1010"/>
        </w:numPr>
        <w:pStyle w:val="Compact"/>
      </w:pPr>
      <w:r>
        <w:t xml:space="preserve">☒ Computergrafik strukturell vorhanden</w:t>
      </w:r>
    </w:p>
    <w:p>
      <w:pPr>
        <w:numPr>
          <w:ilvl w:val="0"/>
          <w:numId w:val="1010"/>
        </w:numPr>
        <w:pStyle w:val="Compact"/>
      </w:pPr>
      <w:r>
        <w:t xml:space="preserve">☐ Inhalte der drei Wahlbereiche jeweils separat gegen die verbindlichen Lehrplanziele prüfen</w:t>
      </w:r>
    </w:p>
    <w:bookmarkEnd w:id="35"/>
    <w:bookmarkStart w:id="36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7 ist</w:t>
      </w:r>
      <w:r>
        <w:t xml:space="preserve"> </w:t>
      </w:r>
      <w:r>
        <w:rPr>
          <w:bCs/>
          <w:b/>
        </w:rPr>
        <w:t xml:space="preserve">strukturell lehrplankonform</w:t>
      </w:r>
      <w:r>
        <w:t xml:space="preserve">. Die beiden Pflichtlernbereiche sind in Arbeitsheft, Lehrerband, Präsentationsplänen, ergänzenden Materialien sowie Lernkontrollen gegen die zentralen Lehrplananforderungen nachgezogen. Noch offen ist die visuelle Aktualisierung bzw. Neuerzeugung der PPTX-Master sowie der separate Lehrplanabgleich der drei Wahlbereiche.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7</dc:title>
  <dc:creator/>
  <dc:language>de-DE</dc:language>
  <cp:keywords/>
  <dcterms:created xsi:type="dcterms:W3CDTF">2026-08-17T19:08:19Z</dcterms:created>
  <dcterms:modified xsi:type="dcterms:W3CDTF">2026-08-17T19:08:19Z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Klasse 7</vt:lpwstr>
  </property>
  <property fmtid="{D5CDD505-2E9C-101B-9397-08002B2CF9AE}" pid="3" name="toc-title">
    <vt:lpwstr>Inhaltsverzeichnis</vt:lpwstr>
  </property>
</Properties>
</file>