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99" w:name="Xdba697b7f5d3dabdf54b35ace02fda93ef468a2"/>
    <w:p>
      <w:pPr>
        <w:pStyle w:val="Heading1"/>
      </w:pPr>
      <w:r>
        <w:t xml:space="preserve">Material M15–17 – Informatiksysteme und Dateien</w:t>
      </w:r>
    </w:p>
    <w:bookmarkStart w:id="94" w:name="a-hardware-oder-software"/>
    <w:p>
      <w:pPr>
        <w:pStyle w:val="Heading2"/>
      </w:pPr>
      <w:r>
        <w:t xml:space="preserve">A – Hardware oder Software?</w:t>
      </w:r>
    </w:p>
    <w:p>
      <w:pPr>
        <w:pStyle w:val="FirstParagraph"/>
      </w:pPr>
      <w:r>
        <w:t xml:space="preserve">Ordne zu:</w:t>
      </w:r>
    </w:p>
    <w:p>
      <w:pPr>
        <w:numPr>
          <w:ilvl w:val="0"/>
          <w:numId w:val="1030"/>
        </w:numPr>
        <w:pStyle w:val="Compact"/>
      </w:pPr>
      <w:r>
        <w:t xml:space="preserve">SSD</w:t>
      </w:r>
    </w:p>
    <w:p>
      <w:pPr>
        <w:numPr>
          <w:ilvl w:val="0"/>
          <w:numId w:val="1030"/>
        </w:numPr>
        <w:pStyle w:val="Compact"/>
      </w:pPr>
      <w:r>
        <w:t xml:space="preserve">Browser</w:t>
      </w:r>
    </w:p>
    <w:p>
      <w:pPr>
        <w:numPr>
          <w:ilvl w:val="0"/>
          <w:numId w:val="1030"/>
        </w:numPr>
        <w:pStyle w:val="Compact"/>
      </w:pPr>
      <w:r>
        <w:t xml:space="preserve">Betriebssystem</w:t>
      </w:r>
    </w:p>
    <w:p>
      <w:pPr>
        <w:numPr>
          <w:ilvl w:val="0"/>
          <w:numId w:val="1030"/>
        </w:numPr>
        <w:pStyle w:val="Compact"/>
      </w:pPr>
      <w:r>
        <w:t xml:space="preserve">Mikrofon</w:t>
      </w:r>
    </w:p>
    <w:p>
      <w:pPr>
        <w:numPr>
          <w:ilvl w:val="0"/>
          <w:numId w:val="1030"/>
        </w:numPr>
        <w:pStyle w:val="Compact"/>
      </w:pPr>
      <w:r>
        <w:t xml:space="preserve">RAM</w:t>
      </w:r>
    </w:p>
    <w:p>
      <w:pPr>
        <w:numPr>
          <w:ilvl w:val="0"/>
          <w:numId w:val="1030"/>
        </w:numPr>
        <w:pStyle w:val="Compact"/>
      </w:pPr>
      <w:r>
        <w:t xml:space="preserve">Textverarbeitung</w:t>
      </w:r>
    </w:p>
    <w:p>
      <w:pPr>
        <w:numPr>
          <w:ilvl w:val="0"/>
          <w:numId w:val="1030"/>
        </w:numPr>
        <w:pStyle w:val="Compact"/>
      </w:pPr>
      <w:r>
        <w:t xml:space="preserve">Prozessor</w:t>
      </w:r>
    </w:p>
    <w:p>
      <w:pPr>
        <w:numPr>
          <w:ilvl w:val="0"/>
          <w:numId w:val="1030"/>
        </w:numPr>
        <w:pStyle w:val="Compact"/>
      </w:pPr>
      <w:r>
        <w:t xml:space="preserve">Präsentationsprogramm</w:t>
      </w:r>
    </w:p>
    <w:bookmarkEnd w:id="94"/>
    <w:bookmarkStart w:id="95" w:name="b-speicher-auswählen"/>
    <w:p>
      <w:pPr>
        <w:pStyle w:val="Heading2"/>
      </w:pPr>
      <w:r>
        <w:t xml:space="preserve">B – Speicher auswählen</w:t>
      </w:r>
    </w:p>
    <w:p>
      <w:pPr>
        <w:pStyle w:val="FirstParagraph"/>
      </w:pPr>
      <w:r>
        <w:t xml:space="preserve">Wähle einen geeigneten Speicher und begründe:</w:t>
      </w:r>
    </w:p>
    <w:p>
      <w:pPr>
        <w:numPr>
          <w:ilvl w:val="0"/>
          <w:numId w:val="1031"/>
        </w:numPr>
        <w:pStyle w:val="Compact"/>
      </w:pPr>
      <w:r>
        <w:t xml:space="preserve">Datei während einer laufenden Berechnung sehr schnell bereithalten</w:t>
      </w:r>
    </w:p>
    <w:p>
      <w:pPr>
        <w:numPr>
          <w:ilvl w:val="0"/>
          <w:numId w:val="1031"/>
        </w:numPr>
        <w:pStyle w:val="Compact"/>
      </w:pPr>
      <w:r>
        <w:t xml:space="preserve">Fotos dauerhaft auf dem Smartphone speichern</w:t>
      </w:r>
    </w:p>
    <w:p>
      <w:pPr>
        <w:numPr>
          <w:ilvl w:val="0"/>
          <w:numId w:val="1031"/>
        </w:numPr>
        <w:pStyle w:val="Compact"/>
      </w:pPr>
      <w:r>
        <w:t xml:space="preserve">gemeinsam an einem Dokument arbeiten</w:t>
      </w:r>
    </w:p>
    <w:p>
      <w:pPr>
        <w:numPr>
          <w:ilvl w:val="0"/>
          <w:numId w:val="1031"/>
        </w:numPr>
        <w:pStyle w:val="Compact"/>
      </w:pPr>
      <w:r>
        <w:t xml:space="preserve">wichtige Schuldokumente zusätzlich sichern</w:t>
      </w:r>
    </w:p>
    <w:bookmarkEnd w:id="95"/>
    <w:bookmarkStart w:id="96" w:name="c-größenordnungen"/>
    <w:p>
      <w:pPr>
        <w:pStyle w:val="Heading2"/>
      </w:pPr>
      <w:r>
        <w:t xml:space="preserve">C – Größenordnungen</w:t>
      </w:r>
    </w:p>
    <w:p>
      <w:pPr>
        <w:numPr>
          <w:ilvl w:val="0"/>
          <w:numId w:val="1032"/>
        </w:numPr>
        <w:pStyle w:val="Compact"/>
      </w:pPr>
      <w:r>
        <w:t xml:space="preserve">16 Byte = ______ Bit</w:t>
      </w:r>
    </w:p>
    <w:p>
      <w:pPr>
        <w:numPr>
          <w:ilvl w:val="0"/>
          <w:numId w:val="1032"/>
        </w:numPr>
        <w:pStyle w:val="Compact"/>
      </w:pPr>
      <w:r>
        <w:t xml:space="preserve">4 KB, 8 MB, 2 GB, 900 KB – sortiere aufsteigend.</w:t>
      </w:r>
    </w:p>
    <w:p>
      <w:pPr>
        <w:numPr>
          <w:ilvl w:val="0"/>
          <w:numId w:val="1032"/>
        </w:numPr>
        <w:pStyle w:val="Compact"/>
      </w:pPr>
      <w:r>
        <w:t xml:space="preserve">Welche Größenordnung erwartest du ungefähr für Textdatei, Foto und Video? Begründe ohne exakte Werte.</w:t>
      </w:r>
    </w:p>
    <w:bookmarkEnd w:id="96"/>
    <w:bookmarkStart w:id="97"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97"/>
    <w:bookmarkStart w:id="98"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p>
      <w:r>
        <w:br w:type="page"/>
      </w:r>
    </w:p>
    <w:bookmarkEnd w:id="98"/>
    <w:bookmarkEnd w:id="99"/>
    <w:bookmarkStart w:id="105" w:name="X9ef68835896787c137419709f90069d0865a0d5"/>
    <w:p>
      <w:pPr>
        <w:pStyle w:val="Heading1"/>
      </w:pPr>
      <w:r>
        <w:t xml:space="preserve">Material – Systembereitschaft, Lizenzen und Speicher</w:t>
      </w:r>
    </w:p>
    <w:bookmarkStart w:id="100" w:name="a-systembereitschaft-prüfen"/>
    <w:p>
      <w:pPr>
        <w:pStyle w:val="Heading2"/>
      </w:pPr>
      <w:r>
        <w:t xml:space="preserve">A – Systembereitschaft prüfen</w:t>
      </w:r>
    </w:p>
    <w:p>
      <w:pPr>
        <w:pStyle w:val="FirstParagraph"/>
      </w:pPr>
      <w:r>
        <w:t xml:space="preserve">Bevor ein Informatiksystem für eine Aufgabe genutzt werden kann, müssen mehrere Dinge funktionieren.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Prüffrage</w:t>
            </w:r>
          </w:p>
        </w:tc>
        <w:tc>
          <w:tcPr/>
          <w:p>
            <w:pPr>
              <w:pStyle w:val="Compact"/>
              <w:jc w:val="left"/>
            </w:pPr>
            <w:r>
              <w:t xml:space="preserve">ja/nein</w:t>
            </w:r>
          </w:p>
        </w:tc>
        <w:tc>
          <w:tcPr/>
          <w:p>
            <w:pPr>
              <w:pStyle w:val="Compact"/>
              <w:jc w:val="left"/>
            </w:pPr>
            <w:r>
              <w:t xml:space="preserve">Was tue ich bei nein?</w:t>
            </w:r>
          </w:p>
        </w:tc>
      </w:tr>
      <w:tr>
        <w:tc>
          <w:tcPr/>
          <w:p>
            <w:pPr>
              <w:pStyle w:val="Compact"/>
              <w:jc w:val="left"/>
            </w:pPr>
            <w:r>
              <w:t xml:space="preserve">Gerät eingeschaltet und angemeldet?</w:t>
            </w:r>
          </w:p>
        </w:tc>
        <w:tc>
          <w:tcPr/>
          <w:p>
            <w:pPr>
              <w:pStyle w:val="Compact"/>
            </w:pPr>
          </w:p>
        </w:tc>
        <w:tc>
          <w:tcPr/>
          <w:p>
            <w:pPr>
              <w:pStyle w:val="Compact"/>
            </w:pPr>
          </w:p>
        </w:tc>
      </w:tr>
      <w:tr>
        <w:tc>
          <w:tcPr/>
          <w:p>
            <w:pPr>
              <w:pStyle w:val="Compact"/>
              <w:jc w:val="left"/>
            </w:pPr>
            <w:r>
              <w:t xml:space="preserve">Netzwerk bzw. Internet verfügbar?</w:t>
            </w:r>
          </w:p>
        </w:tc>
        <w:tc>
          <w:tcPr/>
          <w:p>
            <w:pPr>
              <w:pStyle w:val="Compact"/>
            </w:pPr>
          </w:p>
        </w:tc>
        <w:tc>
          <w:tcPr/>
          <w:p>
            <w:pPr>
              <w:pStyle w:val="Compact"/>
            </w:pPr>
          </w:p>
        </w:tc>
      </w:tr>
      <w:tr>
        <w:tc>
          <w:tcPr/>
          <w:p>
            <w:pPr>
              <w:pStyle w:val="Compact"/>
              <w:jc w:val="left"/>
            </w:pPr>
            <w:r>
              <w:t xml:space="preserve">Lernplattform erreichbar?</w:t>
            </w:r>
          </w:p>
        </w:tc>
        <w:tc>
          <w:tcPr/>
          <w:p>
            <w:pPr>
              <w:pStyle w:val="Compact"/>
            </w:pPr>
          </w:p>
        </w:tc>
        <w:tc>
          <w:tcPr/>
          <w:p>
            <w:pPr>
              <w:pStyle w:val="Compact"/>
            </w:pPr>
          </w:p>
        </w:tc>
      </w:tr>
      <w:tr>
        <w:tc>
          <w:tcPr/>
          <w:p>
            <w:pPr>
              <w:pStyle w:val="Compact"/>
              <w:jc w:val="left"/>
            </w:pPr>
            <w:r>
              <w:t xml:space="preserve">Benötigte Datei vorhanden?</w:t>
            </w:r>
          </w:p>
        </w:tc>
        <w:tc>
          <w:tcPr/>
          <w:p>
            <w:pPr>
              <w:pStyle w:val="Compact"/>
            </w:pPr>
          </w:p>
        </w:tc>
        <w:tc>
          <w:tcPr/>
          <w:p>
            <w:pPr>
              <w:pStyle w:val="Compact"/>
            </w:pPr>
          </w:p>
        </w:tc>
      </w:tr>
      <w:tr>
        <w:tc>
          <w:tcPr/>
          <w:p>
            <w:pPr>
              <w:pStyle w:val="Compact"/>
              <w:jc w:val="left"/>
            </w:pPr>
            <w:r>
              <w:t xml:space="preserve">Passende Anwendung installiert/geöffnet?</w:t>
            </w:r>
          </w:p>
        </w:tc>
        <w:tc>
          <w:tcPr/>
          <w:p>
            <w:pPr>
              <w:pStyle w:val="Compact"/>
            </w:pPr>
          </w:p>
        </w:tc>
        <w:tc>
          <w:tcPr/>
          <w:p>
            <w:pPr>
              <w:pStyle w:val="Compact"/>
            </w:pPr>
          </w:p>
        </w:tc>
      </w:tr>
      <w:tr>
        <w:tc>
          <w:tcPr/>
          <w:p>
            <w:pPr>
              <w:pStyle w:val="Compact"/>
              <w:jc w:val="left"/>
            </w:pPr>
            <w:r>
              <w:t xml:space="preserve">Zugriff erlaubt?</w:t>
            </w:r>
          </w:p>
        </w:tc>
        <w:tc>
          <w:tcPr/>
          <w:p>
            <w:pPr>
              <w:pStyle w:val="Compact"/>
            </w:pPr>
          </w:p>
        </w:tc>
        <w:tc>
          <w:tcPr/>
          <w:p>
            <w:pPr>
              <w:pStyle w:val="Compact"/>
            </w:pPr>
          </w:p>
        </w:tc>
      </w:tr>
    </w:tbl>
    <w:bookmarkEnd w:id="100"/>
    <w:bookmarkStart w:id="101" w:name="b-hinweise-und-fehlermeldungen-lesen"/>
    <w:p>
      <w:pPr>
        <w:pStyle w:val="Heading2"/>
      </w:pPr>
      <w:r>
        <w:t xml:space="preserve">B – Hinweise und Fehlermeldungen lesen</w:t>
      </w:r>
    </w:p>
    <w:p>
      <w:pPr>
        <w:pStyle w:val="FirstParagraph"/>
      </w:pPr>
      <w:r>
        <w:t xml:space="preserve">Ordne passende Reaktionen zu.</w:t>
      </w:r>
    </w:p>
    <w:p>
      <w:pPr>
        <w:numPr>
          <w:ilvl w:val="0"/>
          <w:numId w:val="1033"/>
        </w:numPr>
        <w:pStyle w:val="Compact"/>
      </w:pPr>
      <w:r>
        <w:t xml:space="preserve">„Datei bereits vorhanden“</w:t>
      </w:r>
    </w:p>
    <w:p>
      <w:pPr>
        <w:numPr>
          <w:ilvl w:val="0"/>
          <w:numId w:val="1033"/>
        </w:numPr>
        <w:pStyle w:val="Compact"/>
      </w:pPr>
      <w:r>
        <w:t xml:space="preserve">„Zugriff verweigert“</w:t>
      </w:r>
    </w:p>
    <w:p>
      <w:pPr>
        <w:numPr>
          <w:ilvl w:val="0"/>
          <w:numId w:val="1033"/>
        </w:numPr>
        <w:pStyle w:val="Compact"/>
      </w:pPr>
      <w:r>
        <w:t xml:space="preserve">„Keine Netzwerkverbindung“</w:t>
      </w:r>
    </w:p>
    <w:p>
      <w:pPr>
        <w:numPr>
          <w:ilvl w:val="0"/>
          <w:numId w:val="1033"/>
        </w:numPr>
        <w:pStyle w:val="Compact"/>
      </w:pPr>
      <w:r>
        <w:t xml:space="preserve">„Dateityp unbekannt“</w:t>
      </w:r>
    </w:p>
    <w:p>
      <w:pPr>
        <w:numPr>
          <w:ilvl w:val="0"/>
          <w:numId w:val="1033"/>
        </w:numPr>
        <w:pStyle w:val="Compact"/>
      </w:pPr>
      <w:r>
        <w:t xml:space="preserve">„Änderungen nicht gespeichert“</w:t>
      </w:r>
    </w:p>
    <w:p>
      <w:pPr>
        <w:pStyle w:val="FirstParagraph"/>
      </w:pPr>
      <w:r>
        <w:t xml:space="preserve">Mögliche Reaktionen:</w:t>
      </w:r>
    </w:p>
    <w:p>
      <w:pPr>
        <w:numPr>
          <w:ilvl w:val="0"/>
          <w:numId w:val="1034"/>
        </w:numPr>
        <w:pStyle w:val="Compact"/>
      </w:pPr>
      <w:r>
        <w:t xml:space="preserve">Verbindung prüfen</w:t>
      </w:r>
    </w:p>
    <w:p>
      <w:pPr>
        <w:numPr>
          <w:ilvl w:val="0"/>
          <w:numId w:val="1034"/>
        </w:numPr>
        <w:pStyle w:val="Compact"/>
      </w:pPr>
      <w:r>
        <w:t xml:space="preserve">anderen Dateinamen wählen oder Überschreiben bewusst entscheiden</w:t>
      </w:r>
    </w:p>
    <w:p>
      <w:pPr>
        <w:numPr>
          <w:ilvl w:val="0"/>
          <w:numId w:val="1034"/>
        </w:numPr>
        <w:pStyle w:val="Compact"/>
      </w:pPr>
      <w:r>
        <w:t xml:space="preserve">passende Anwendung auswählen</w:t>
      </w:r>
    </w:p>
    <w:p>
      <w:pPr>
        <w:numPr>
          <w:ilvl w:val="0"/>
          <w:numId w:val="1034"/>
        </w:numPr>
        <w:pStyle w:val="Compact"/>
      </w:pPr>
      <w:r>
        <w:t xml:space="preserve">Rechte/Freigabe prüfen</w:t>
      </w:r>
    </w:p>
    <w:p>
      <w:pPr>
        <w:numPr>
          <w:ilvl w:val="0"/>
          <w:numId w:val="1034"/>
        </w:numPr>
        <w:pStyle w:val="Compact"/>
      </w:pPr>
      <w:r>
        <w:t xml:space="preserve">speichern oder Speicherort prüfen</w:t>
      </w:r>
    </w:p>
    <w:bookmarkEnd w:id="101"/>
    <w:bookmarkStart w:id="102" w:name="c-lizenzformen-unterscheiden"/>
    <w:p>
      <w:pPr>
        <w:pStyle w:val="Heading2"/>
      </w:pPr>
      <w:r>
        <w:t xml:space="preserve">C – Lizenzformen unterscheiden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trifft eher zu auf</w:t>
            </w:r>
          </w:p>
        </w:tc>
      </w:tr>
      <w:tr>
        <w:tc>
          <w:tcPr/>
          <w:p>
            <w:pPr>
              <w:pStyle w:val="Compact"/>
              <w:jc w:val="left"/>
            </w:pPr>
            <w:r>
              <w:t xml:space="preserve">Der Quelltext ist nicht öffentlich zugänglich.</w:t>
            </w:r>
          </w:p>
        </w:tc>
        <w:tc>
          <w:tcPr/>
          <w:p>
            <w:pPr>
              <w:pStyle w:val="Compact"/>
            </w:pPr>
          </w:p>
        </w:tc>
      </w:tr>
      <w:tr>
        <w:tc>
          <w:tcPr/>
          <w:p>
            <w:pPr>
              <w:pStyle w:val="Compact"/>
              <w:jc w:val="left"/>
            </w:pPr>
            <w:r>
              <w:t xml:space="preserve">Nutzung und Weitergabe richten sich nach einer Lizenz.</w:t>
            </w:r>
          </w:p>
        </w:tc>
        <w:tc>
          <w:tcPr/>
          <w:p>
            <w:pPr>
              <w:pStyle w:val="Compact"/>
            </w:pPr>
          </w:p>
        </w:tc>
      </w:tr>
      <w:tr>
        <w:tc>
          <w:tcPr/>
          <w:p>
            <w:pPr>
              <w:pStyle w:val="Compact"/>
              <w:jc w:val="left"/>
            </w:pPr>
            <w:r>
              <w:t xml:space="preserve">Die Software kostet nichts, darf aber nicht automatisch verändert werden.</w:t>
            </w:r>
          </w:p>
        </w:tc>
        <w:tc>
          <w:tcPr/>
          <w:p>
            <w:pPr>
              <w:pStyle w:val="Compact"/>
            </w:pPr>
          </w:p>
        </w:tc>
      </w:tr>
      <w:tr>
        <w:tc>
          <w:tcPr/>
          <w:p>
            <w:pPr>
              <w:pStyle w:val="Compact"/>
              <w:jc w:val="left"/>
            </w:pPr>
            <w:r>
              <w:t xml:space="preserve">Der Quelltext ist zugänglich und darf im Rahmen der Lizenz genutzt werden.</w:t>
            </w:r>
          </w:p>
        </w:tc>
        <w:tc>
          <w:tcPr/>
          <w:p>
            <w:pPr>
              <w:pStyle w:val="Compact"/>
            </w:pPr>
          </w:p>
        </w:tc>
      </w:tr>
      <w:tr>
        <w:tc>
          <w:tcPr/>
          <w:p>
            <w:pPr>
              <w:pStyle w:val="Compact"/>
              <w:jc w:val="left"/>
            </w:pPr>
            <w:r>
              <w:t xml:space="preserve">Die Freiheit zum Ausführen, Untersuchen, Verändern und Weitergeben steht im Mittelpunkt.</w:t>
            </w:r>
          </w:p>
        </w:tc>
        <w:tc>
          <w:tcPr/>
          <w:p>
            <w:pPr>
              <w:pStyle w:val="Compact"/>
            </w:pPr>
          </w:p>
        </w:tc>
      </w:tr>
    </w:tbl>
    <w:p>
      <w:pPr>
        <w:pStyle w:val="BodyText"/>
      </w:pPr>
      <w:r>
        <w:t xml:space="preserve">Begriffe: proprietär, kostenlos/freeware, Open Source, freie Software.</w:t>
      </w:r>
    </w:p>
    <w:bookmarkEnd w:id="102"/>
    <w:bookmarkStart w:id="103" w:name="d-speicher-vergleichen"/>
    <w:p>
      <w:pPr>
        <w:pStyle w:val="Heading2"/>
      </w:pPr>
      <w:r>
        <w:t xml:space="preserve">D – Speicher vergleichen</w:t>
      </w:r>
    </w:p>
    <w:p>
      <w:pPr>
        <w:pStyle w:val="FirstParagraph"/>
      </w:pPr>
      <w:r>
        <w:t xml:space="preserve">Vergleiche RAM, SSD, USB-Stick, Netzwerkspeicher und Cloudspeicher nach:</w:t>
      </w:r>
    </w:p>
    <w:p>
      <w:pPr>
        <w:numPr>
          <w:ilvl w:val="0"/>
          <w:numId w:val="1035"/>
        </w:numPr>
        <w:pStyle w:val="Compact"/>
      </w:pPr>
      <w:r>
        <w:t xml:space="preserve">flüchtig/nichtflüchtig</w:t>
      </w:r>
    </w:p>
    <w:p>
      <w:pPr>
        <w:numPr>
          <w:ilvl w:val="0"/>
          <w:numId w:val="1035"/>
        </w:numPr>
        <w:pStyle w:val="Compact"/>
      </w:pPr>
      <w:r>
        <w:t xml:space="preserve">Zugriffsort</w:t>
      </w:r>
    </w:p>
    <w:p>
      <w:pPr>
        <w:numPr>
          <w:ilvl w:val="0"/>
          <w:numId w:val="1035"/>
        </w:numPr>
        <w:pStyle w:val="Compact"/>
      </w:pPr>
      <w:r>
        <w:t xml:space="preserve">Geschwindigkeit/Zugriffszeit</w:t>
      </w:r>
    </w:p>
    <w:p>
      <w:pPr>
        <w:numPr>
          <w:ilvl w:val="0"/>
          <w:numId w:val="1035"/>
        </w:numPr>
        <w:pStyle w:val="Compact"/>
      </w:pPr>
      <w:r>
        <w:t xml:space="preserve">Zuverlässigkeit</w:t>
      </w:r>
    </w:p>
    <w:p>
      <w:pPr>
        <w:numPr>
          <w:ilvl w:val="0"/>
          <w:numId w:val="1035"/>
        </w:numPr>
        <w:pStyle w:val="Compact"/>
      </w:pPr>
      <w:r>
        <w:t xml:space="preserve">Eignung für Backup</w:t>
      </w:r>
    </w:p>
    <w:bookmarkEnd w:id="103"/>
    <w:bookmarkStart w:id="104" w:name="sicherung"/>
    <w:p>
      <w:pPr>
        <w:pStyle w:val="Heading2"/>
      </w:pPr>
      <w:r>
        <w:t xml:space="preserve">Sicherung</w:t>
      </w:r>
    </w:p>
    <w:p>
      <w:pPr>
        <w:pStyle w:val="BlockText"/>
      </w:pPr>
      <w:r>
        <w:t xml:space="preserve">Systembereitschaft, passende Lizenzen und geeignete Speicherorte sind Voraussetzung, damit Informatiksysteme im Alltag zuverlässig und verantwortungsvoll genutzt werden können.</w:t>
      </w:r>
    </w:p>
    <w:bookmarkEnd w:id="104"/>
    <w:bookmarkEnd w:id="10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2026-08-17T19:09:32Z</dcterms:created>
  <dcterms:modified xsi:type="dcterms:W3CDTF">2026-08-17T19:09:32Z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