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X83f92f0dd864afc1c32bcc3fe13538d8bf42ca3"/>
    <w:p>
      <w:pPr>
        <w:pStyle w:val="Heading1"/>
      </w:pPr>
      <w:r>
        <w:t xml:space="preserve">Präsentation – 01 bis 03 Daten und Darstellungen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Wann werden aus Daten Informationen?</w:t>
      </w:r>
    </w:p>
    <w:bookmarkEnd w:id="20"/>
    <w:bookmarkStart w:id="21" w:name="folie-2-beispiel-18"/>
    <w:p>
      <w:pPr>
        <w:pStyle w:val="Heading2"/>
      </w:pPr>
      <w:r>
        <w:t xml:space="preserve">Folie 2 – Beispiel 18</w:t>
      </w:r>
    </w:p>
    <w:p>
      <w:pPr>
        <w:pStyle w:val="FirstParagraph"/>
      </w:pPr>
      <w:r>
        <w:rPr>
          <w:rStyle w:val="VerbatimChar"/>
        </w:rPr>
        <w:t xml:space="preserve">18</w:t>
      </w:r>
      <w:r>
        <w:t xml:space="preserve"> </w:t>
      </w:r>
      <w:r>
        <w:t xml:space="preserve">kann Alter, Temperatur, Hausnummer, Uhrzeit oder Punktzahl bedeuten.</w:t>
      </w:r>
    </w:p>
    <w:p>
      <w:pPr>
        <w:pStyle w:val="BodyText"/>
      </w:pPr>
      <w:r>
        <w:rPr>
          <w:bCs/>
          <w:b/>
        </w:rPr>
        <w:t xml:space="preserve">Kommentarbereich:</w:t>
      </w:r>
      <w:r>
        <w:t xml:space="preserve"> </w:t>
      </w:r>
      <w:r>
        <w:t xml:space="preserve">Erst die Zahl isoliert zeigen, dann Kontexte ergänzen lassen.</w:t>
      </w:r>
    </w:p>
    <w:bookmarkEnd w:id="21"/>
    <w:bookmarkStart w:id="22" w:name="folie-3-daten-und-information"/>
    <w:p>
      <w:pPr>
        <w:pStyle w:val="Heading2"/>
      </w:pPr>
      <w:r>
        <w:t xml:space="preserve">Folie 3 – Daten und Information</w:t>
      </w:r>
    </w:p>
    <w:p>
      <w:pPr>
        <w:pStyle w:val="FirstParagraph"/>
      </w:pPr>
      <w:r>
        <w:t xml:space="preserve">Daten sind Darstellungen. Information entsteht durch Bedeutung im Kontext.</w:t>
      </w:r>
    </w:p>
    <w:bookmarkEnd w:id="22"/>
    <w:bookmarkStart w:id="23" w:name="folie-4-darstellungsformen"/>
    <w:p>
      <w:pPr>
        <w:pStyle w:val="Heading2"/>
      </w:pPr>
      <w:r>
        <w:t xml:space="preserve">Folie 4 – Darstellungsformen</w:t>
      </w:r>
    </w:p>
    <w:p>
      <w:pPr>
        <w:pStyle w:val="FirstParagraph"/>
      </w:pPr>
      <w:r>
        <w:t xml:space="preserve">Text, Tabelle, Diagramm, Grafik, Audio, Video, Animation, Multimedia.</w:t>
      </w:r>
    </w:p>
    <w:bookmarkEnd w:id="23"/>
    <w:bookmarkStart w:id="24" w:name="folie-5-welche-darstellung-passt"/>
    <w:p>
      <w:pPr>
        <w:pStyle w:val="Heading2"/>
      </w:pPr>
      <w:r>
        <w:t xml:space="preserve">Folie 5 – Welche Darstellung passt?</w:t>
      </w:r>
    </w:p>
    <w:p>
      <w:pPr>
        <w:pStyle w:val="FirstParagraph"/>
      </w:pPr>
      <w:r>
        <w:t xml:space="preserve">Zweck, Zielgruppe, Genauigkeit, Übersichtlichkeit und Bearbeitbarkeit entscheiden.</w:t>
      </w:r>
    </w:p>
    <w:bookmarkEnd w:id="24"/>
    <w:bookmarkStart w:id="25" w:name="folie-6-tabelle-oder-diagramm"/>
    <w:p>
      <w:pPr>
        <w:pStyle w:val="Heading2"/>
      </w:pPr>
      <w:r>
        <w:t xml:space="preserve">Folie 6 – Tabelle oder Diagramm?</w:t>
      </w:r>
    </w:p>
    <w:p>
      <w:pPr>
        <w:pStyle w:val="FirstParagraph"/>
      </w:pPr>
      <w:r>
        <w:t xml:space="preserve">Tabelle: genaue Einzelwerte. Diagramm: Muster und Vergleiche schneller erkennen.</w:t>
      </w:r>
    </w:p>
    <w:bookmarkEnd w:id="25"/>
    <w:bookmarkStart w:id="26" w:name="folie-7-digitale-medien-planen"/>
    <w:p>
      <w:pPr>
        <w:pStyle w:val="Heading2"/>
      </w:pPr>
      <w:r>
        <w:t xml:space="preserve">Folie 7 – Digitale Medien planen</w:t>
      </w:r>
    </w:p>
    <w:p>
      <w:pPr>
        <w:pStyle w:val="FirstParagraph"/>
      </w:pPr>
      <w:r>
        <w:t xml:space="preserve">Ziel, Zielgruppe, Inhalt, Medium und Werkzeug klären.</w:t>
      </w:r>
    </w:p>
    <w:bookmarkEnd w:id="26"/>
    <w:bookmarkStart w:id="27" w:name="folie-8-inhalt-versus-design"/>
    <w:p>
      <w:pPr>
        <w:pStyle w:val="Heading2"/>
      </w:pPr>
      <w:r>
        <w:t xml:space="preserve">Folie 8 – Inhalt versus Design</w:t>
      </w:r>
    </w:p>
    <w:p>
      <w:pPr>
        <w:pStyle w:val="FirstParagraph"/>
      </w:pPr>
      <w:r>
        <w:t xml:space="preserve">Inhalt beantwortet „Was wird gesagt?“. Design beantwortet „Wie wird es verständlich dargestellt?“.</w:t>
      </w:r>
    </w:p>
    <w:bookmarkEnd w:id="27"/>
    <w:bookmarkStart w:id="28" w:name="folie-9-geeignete-anwendungssoftware"/>
    <w:p>
      <w:pPr>
        <w:pStyle w:val="Heading2"/>
      </w:pPr>
      <w:r>
        <w:t xml:space="preserve">Folie 9 – Geeignete Anwendungssoftware</w:t>
      </w:r>
    </w:p>
    <w:p>
      <w:pPr>
        <w:pStyle w:val="FirstParagraph"/>
      </w:pPr>
      <w:r>
        <w:t xml:space="preserve">Textverarbeitung, Präsentation, Tabellenkalkulation, Grafikprogramm, Audio-/Videowerkzeug, browserbasierte Anwendung.</w:t>
      </w:r>
    </w:p>
    <w:p>
      <w:pPr>
        <w:pStyle w:val="BodyText"/>
      </w:pPr>
      <w:r>
        <w:rPr>
          <w:bCs/>
          <w:b/>
        </w:rPr>
        <w:t xml:space="preserve">Kommentarbereich:</w:t>
      </w:r>
      <w:r>
        <w:t xml:space="preserve"> </w:t>
      </w:r>
      <w:r>
        <w:t xml:space="preserve">Problembezogene Auswahl begründen lassen. Eine weitere Anwendung bewusst neu erkunden, nicht nur bekannte Programme verwenden.</w:t>
      </w:r>
    </w:p>
    <w:bookmarkEnd w:id="28"/>
    <w:bookmarkStart w:id="29" w:name="Xec94a8493343c1cafe3d4e457cd8a5b138ad4d5"/>
    <w:p>
      <w:pPr>
        <w:pStyle w:val="Heading2"/>
      </w:pPr>
      <w:r>
        <w:t xml:space="preserve">Folie 10 – Automatisierung in Anwendersoftware</w:t>
      </w:r>
    </w:p>
    <w:p>
      <w:pPr>
        <w:pStyle w:val="FirstParagraph"/>
      </w:pPr>
      <w:r>
        <w:t xml:space="preserve">Rechtschreibprüfung, Layoutvorlagen, automatische Summen, Diagramme, Bildkorrekturen, Vorschläge.</w:t>
      </w:r>
    </w:p>
    <w:bookmarkEnd w:id="29"/>
    <w:bookmarkStart w:id="30" w:name="Xf3b6566e282124e06837dfa124f9b54d00dfe1b"/>
    <w:p>
      <w:pPr>
        <w:pStyle w:val="Heading2"/>
      </w:pPr>
      <w:r>
        <w:t xml:space="preserve">Folie 11 – Automatisch heißt nicht automatisch richtig</w:t>
      </w:r>
    </w:p>
    <w:p>
      <w:pPr>
        <w:pStyle w:val="FirstParagraph"/>
      </w:pPr>
      <w:r>
        <w:t xml:space="preserve">Software kann helfen, aber Ergebnisse müssen geprüft werden.</w:t>
      </w:r>
    </w:p>
    <w:bookmarkEnd w:id="30"/>
    <w:bookmarkStart w:id="31" w:name="folie-12-quellen-und-kontext-prüfen"/>
    <w:p>
      <w:pPr>
        <w:pStyle w:val="Heading2"/>
      </w:pPr>
      <w:r>
        <w:t xml:space="preserve">Folie 12 – Quellen und Kontext prüfen</w:t>
      </w:r>
    </w:p>
    <w:p>
      <w:pPr>
        <w:pStyle w:val="FirstParagraph"/>
      </w:pPr>
      <w:r>
        <w:t xml:space="preserve">Wer hat die Information erstellt? Wofür? Wann? Ist die Darstellung vollständig oder manipulativ?</w:t>
      </w:r>
    </w:p>
    <w:bookmarkEnd w:id="31"/>
    <w:bookmarkStart w:id="32" w:name="folie-13-sicherung"/>
    <w:p>
      <w:pPr>
        <w:pStyle w:val="Heading2"/>
      </w:pPr>
      <w:r>
        <w:t xml:space="preserve">Folie 13 – Sicherung</w:t>
      </w:r>
    </w:p>
    <w:p>
      <w:pPr>
        <w:pStyle w:val="BlockText"/>
      </w:pPr>
      <w:r>
        <w:t xml:space="preserve">Daten + Kontext + passende Darstellung → nutzbare Information.</w:t>
      </w:r>
    </w:p>
    <w:bookmarkEnd w:id="32"/>
    <w:bookmarkStart w:id="33" w:name="folie-14-übergang"/>
    <w:p>
      <w:pPr>
        <w:pStyle w:val="Heading2"/>
      </w:pPr>
      <w:r>
        <w:t xml:space="preserve">Folie 14 – Übergang</w:t>
      </w:r>
    </w:p>
    <w:p>
      <w:pPr>
        <w:pStyle w:val="BlockText"/>
      </w:pPr>
      <w:r>
        <w:t xml:space="preserve">Wenn Programme mit Dokumenten arbeiten: Welche Dinge darin kann man als Objekte mit Eigenschaften beschreiben?</w:t>
      </w:r>
    </w:p>
    <w:p>
      <w:r>
        <w:br w:type="page"/>
      </w:r>
    </w:p>
    <w:bookmarkEnd w:id="33"/>
    <w:bookmarkEnd w:id="34"/>
    <w:bookmarkStart w:id="51" w:name="X544bb3c6beadbbb53139fc5a645f7d1b5042e0b"/>
    <w:p>
      <w:pPr>
        <w:pStyle w:val="Heading1"/>
      </w:pPr>
      <w:r>
        <w:t xml:space="preserve">Präsentation – 04 bis 06 Objekte, Klassen und Datenrechte</w:t>
      </w:r>
    </w:p>
    <w:bookmarkStart w:id="35" w:name="folie-1-leitfrage-1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Wie beschreibt ein Computer Dinge mit Eigenschaften?</w:t>
      </w:r>
    </w:p>
    <w:bookmarkEnd w:id="35"/>
    <w:bookmarkStart w:id="36" w:name="folie-2-objekte-in-anwendungen"/>
    <w:p>
      <w:pPr>
        <w:pStyle w:val="Heading2"/>
      </w:pPr>
      <w:r>
        <w:t xml:space="preserve">Folie 2 – Objekte in Anwendungen</w:t>
      </w:r>
    </w:p>
    <w:p>
      <w:pPr>
        <w:pStyle w:val="FirstParagraph"/>
      </w:pPr>
      <w:r>
        <w:t xml:space="preserve">Bild, Textfeld, Tabellenzelle, Folie, Datei, Figur.</w:t>
      </w:r>
    </w:p>
    <w:bookmarkEnd w:id="36"/>
    <w:bookmarkStart w:id="37" w:name="folie-3-attribut-und-attributwert"/>
    <w:p>
      <w:pPr>
        <w:pStyle w:val="Heading2"/>
      </w:pPr>
      <w:r>
        <w:t xml:space="preserve">Folie 3 – Attribut und Attributwert</w:t>
      </w:r>
    </w:p>
    <w:p>
      <w:pPr>
        <w:pStyle w:val="FirstParagraph"/>
      </w:pPr>
      <w:r>
        <w:t xml:space="preserve">Attribut: Farbe, Größe, Position. Attributwert: rot, 12 cm, x=40.</w:t>
      </w:r>
    </w:p>
    <w:bookmarkEnd w:id="37"/>
    <w:bookmarkStart w:id="38" w:name="folie-4-zustand-eines-objekts"/>
    <w:p>
      <w:pPr>
        <w:pStyle w:val="Heading2"/>
      </w:pPr>
      <w:r>
        <w:t xml:space="preserve">Folie 4 – Zustand eines Objekts</w:t>
      </w:r>
    </w:p>
    <w:p>
      <w:pPr>
        <w:pStyle w:val="FirstParagraph"/>
      </w:pPr>
      <w:r>
        <w:t xml:space="preserve">Ein Objekt hat konkrete Attributwerte. Wenn sich Werte ändern, ändert sich der Zustand des Objekts.</w:t>
      </w:r>
    </w:p>
    <w:p>
      <w:pPr>
        <w:pStyle w:val="BodyText"/>
      </w:pPr>
      <w:r>
        <w:rPr>
          <w:bCs/>
          <w:b/>
        </w:rPr>
        <w:t xml:space="preserve">Kommentarbereich:</w:t>
      </w:r>
      <w:r>
        <w:t xml:space="preserve"> </w:t>
      </w:r>
      <w:r>
        <w:t xml:space="preserve">Ausdrücklich sagen: Die Klasse ändert sich dadurch nicht. Häufiger Schülerfehler: Werte der Klasse zuordnen.</w:t>
      </w:r>
    </w:p>
    <w:bookmarkEnd w:id="38"/>
    <w:bookmarkStart w:id="39" w:name="folie-5-klasse-als-bauplan"/>
    <w:p>
      <w:pPr>
        <w:pStyle w:val="Heading2"/>
      </w:pPr>
      <w:r>
        <w:t xml:space="preserve">Folie 5 – Klasse als Bauplan</w:t>
      </w:r>
    </w:p>
    <w:p>
      <w:pPr>
        <w:pStyle w:val="FirstParagraph"/>
      </w:pPr>
      <w:r>
        <w:t xml:space="preserve">Klasse beschreibt gemeinsame Attribute und mögliche Methoden ähnlicher Objekte.</w:t>
      </w:r>
    </w:p>
    <w:bookmarkEnd w:id="39"/>
    <w:bookmarkStart w:id="40" w:name="folie-6-objektbeispiele-aus-einer-klasse"/>
    <w:p>
      <w:pPr>
        <w:pStyle w:val="Heading2"/>
      </w:pPr>
      <w:r>
        <w:t xml:space="preserve">Folie 6 – Objektbeispiele aus einer Klasse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Bildobjekt</w:t>
      </w:r>
      <w:r>
        <w:t xml:space="preserve">: Objekt A klein/links, Objekt B groß/rechts, Objekt C transparent.</w:t>
      </w:r>
    </w:p>
    <w:bookmarkEnd w:id="40"/>
    <w:bookmarkStart w:id="41" w:name="folie-7-methoden"/>
    <w:p>
      <w:pPr>
        <w:pStyle w:val="Heading2"/>
      </w:pPr>
      <w:r>
        <w:t xml:space="preserve">Folie 7 – Methoden</w:t>
      </w:r>
    </w:p>
    <w:p>
      <w:pPr>
        <w:pStyle w:val="FirstParagraph"/>
      </w:pPr>
      <w:r>
        <w:t xml:space="preserve">Methoden ändern etwas am Objekt oder lösen eine Aktion aus, z. B. verschieben, drehen, skalieren.</w:t>
      </w:r>
    </w:p>
    <w:bookmarkEnd w:id="41"/>
    <w:bookmarkStart w:id="42" w:name="X9cbe2977c3b6cc1ec20c17f657dd5a7311ac5fa"/>
    <w:p>
      <w:pPr>
        <w:pStyle w:val="Heading2"/>
      </w:pPr>
      <w:r>
        <w:t xml:space="preserve">Folie 8 – Erstellen, Kopieren, Löschen unterscheiden</w:t>
      </w:r>
    </w:p>
    <w:p>
      <w:pPr>
        <w:pStyle w:val="FirstParagraph"/>
      </w:pPr>
      <w:r>
        <w:t xml:space="preserve">Das Verwalten eines Objekts ist nicht dasselbe wie das Ändern seiner Attributwerte.</w:t>
      </w:r>
    </w:p>
    <w:bookmarkEnd w:id="42"/>
    <w:bookmarkStart w:id="43" w:name="folie-9-vereinfachte-darstellung"/>
    <w:p>
      <w:pPr>
        <w:pStyle w:val="Heading2"/>
      </w:pPr>
      <w:r>
        <w:t xml:space="preserve">Folie 9 – Vereinfachte Darstellung</w:t>
      </w:r>
    </w:p>
    <w:p>
      <w:pPr>
        <w:pStyle w:val="FirstParagraph"/>
      </w:pPr>
      <w:r>
        <w:t xml:space="preserve">Klasse oben, darunter Attribute und Methoden; konkrete Objekte mit eigenen Werten daneben.</w:t>
      </w:r>
    </w:p>
    <w:bookmarkEnd w:id="43"/>
    <w:bookmarkStart w:id="44" w:name="Xbeacb69810ae693fb90b254bc370e459dcbf376"/>
    <w:p>
      <w:pPr>
        <w:pStyle w:val="Heading2"/>
      </w:pPr>
      <w:r>
        <w:t xml:space="preserve">Folie 10 – Was technisch möglich ist, ist nicht automatisch erlaubt</w:t>
      </w:r>
    </w:p>
    <w:p>
      <w:pPr>
        <w:pStyle w:val="FirstParagraph"/>
      </w:pPr>
      <w:r>
        <w:t xml:space="preserve">Daten und Medien haben rechtliche und persönliche Bezüge.</w:t>
      </w:r>
    </w:p>
    <w:bookmarkEnd w:id="44"/>
    <w:bookmarkStart w:id="45" w:name="X376541540ce828ed8fb61448e5c09036407d07b"/>
    <w:p>
      <w:pPr>
        <w:pStyle w:val="Heading2"/>
      </w:pPr>
      <w:r>
        <w:t xml:space="preserve">Folie 11 – Persönliche Daten und Persönlichkeitsrechte</w:t>
      </w:r>
    </w:p>
    <w:p>
      <w:pPr>
        <w:pStyle w:val="FirstParagraph"/>
      </w:pPr>
      <w:r>
        <w:t xml:space="preserve">Name, Foto, Stimme, Standort, Kontakt, Verhalten. Vor Veröffentlichung Betroffene berücksichtigen.</w:t>
      </w:r>
    </w:p>
    <w:bookmarkEnd w:id="45"/>
    <w:bookmarkStart w:id="46" w:name="X202e2600b35a76d8463157f760106e3f887a2dd"/>
    <w:p>
      <w:pPr>
        <w:pStyle w:val="Heading2"/>
      </w:pPr>
      <w:r>
        <w:t xml:space="preserve">Folie 12 – Urheberrecht, Quellen, Zitat, Plagiat</w:t>
      </w:r>
    </w:p>
    <w:p>
      <w:pPr>
        <w:pStyle w:val="FirstParagraph"/>
      </w:pPr>
      <w:r>
        <w:t xml:space="preserve">Fremde Texte, Bilder, Musik und Videos brauchen Nutzungsrecht, Quellenangabe oder zulässiges Zitat.</w:t>
      </w:r>
    </w:p>
    <w:bookmarkEnd w:id="46"/>
    <w:bookmarkStart w:id="47" w:name="folie-13-inhaltsdaten-und-metadaten"/>
    <w:p>
      <w:pPr>
        <w:pStyle w:val="Heading2"/>
      </w:pPr>
      <w:r>
        <w:t xml:space="preserve">Folie 13 – Inhaltsdaten und Metadaten</w:t>
      </w:r>
    </w:p>
    <w:p>
      <w:pPr>
        <w:pStyle w:val="FirstParagraph"/>
      </w:pPr>
      <w:r>
        <w:t xml:space="preserve">Inhaltsdaten: sichtbarer Inhalt. Metadaten: zusätzliche Informationen wie Autor, Zeitpunkt, Gerät, Standort.</w:t>
      </w:r>
    </w:p>
    <w:bookmarkEnd w:id="47"/>
    <w:bookmarkStart w:id="48" w:name="X0c7c9badb1bf9e09c9836ba46b3dbccabf4b483"/>
    <w:p>
      <w:pPr>
        <w:pStyle w:val="Heading2"/>
      </w:pPr>
      <w:r>
        <w:t xml:space="preserve">Folie 14 – Dokumentenschutz und Zugriffsrechte</w:t>
      </w:r>
    </w:p>
    <w:p>
      <w:pPr>
        <w:pStyle w:val="FirstParagraph"/>
      </w:pPr>
      <w:r>
        <w:t xml:space="preserve">Passwort, Freigabe, Leserecht, Schreibrecht, öffentliche Links.</w:t>
      </w:r>
    </w:p>
    <w:bookmarkEnd w:id="48"/>
    <w:bookmarkStart w:id="49" w:name="X28535896964cb2733032cdacc216206578aedf3"/>
    <w:p>
      <w:pPr>
        <w:pStyle w:val="Heading2"/>
      </w:pPr>
      <w:r>
        <w:t xml:space="preserve">Folie 15 – Manipulation und automatische Erzeugung</w:t>
      </w:r>
    </w:p>
    <w:p>
      <w:pPr>
        <w:pStyle w:val="FirstParagraph"/>
      </w:pPr>
      <w:r>
        <w:t xml:space="preserve">Bilder, Texte und Videos können bearbeitet oder automatisch erzeugt werden. Kontext und Quelle prüfen.</w:t>
      </w:r>
    </w:p>
    <w:bookmarkEnd w:id="49"/>
    <w:bookmarkStart w:id="50" w:name="folie-16-sicherung"/>
    <w:p>
      <w:pPr>
        <w:pStyle w:val="Heading2"/>
      </w:pPr>
      <w:r>
        <w:t xml:space="preserve">Folie 16 – Sicherung</w:t>
      </w:r>
    </w:p>
    <w:p>
      <w:pPr>
        <w:pStyle w:val="BlockText"/>
      </w:pPr>
      <w:r>
        <w:t xml:space="preserve">Daten und Medien müssen technisch verstanden, rechtlich zulässig und verantwortungsvoll genutzt werden.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2026-08-17T19:08:22Z</dcterms:created>
  <dcterms:modified xsi:type="dcterms:W3CDTF">2026-08-17T19:08:22Z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