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Xc0eaa3dbdc387408331fa8f060b4f4d8890d2d9"/>
    <w:p>
      <w:pPr>
        <w:pStyle w:val="Heading1"/>
      </w:pPr>
      <w:r>
        <w:t xml:space="preserve">LK 03: Klassen, Objekte und Schlüssel – optionale Vertiefung</w:t>
      </w:r>
    </w:p>
    <w:p>
      <w:pPr>
        <w:pStyle w:val="BlockText"/>
      </w:pPr>
      <w:r>
        <w:rPr>
          <w:bCs/>
          <w:b/>
        </w:rPr>
        <w:t xml:space="preserve">Hinweis für die Lehrkraft:</w:t>
      </w:r>
      <w:r>
        <w:t xml:space="preserve"> </w:t>
      </w:r>
      <w:r>
        <w:t xml:space="preserve">Diese Lernkontrolle ist</w:t>
      </w:r>
      <w:r>
        <w:t xml:space="preserve"> </w:t>
      </w:r>
      <w:r>
        <w:rPr>
          <w:bCs/>
          <w:b/>
        </w:rPr>
        <w:t xml:space="preserve">nicht Bestandteil des verbindlichen Kernwegs</w:t>
      </w:r>
      <w:r>
        <w:t xml:space="preserve">. Sie darf nur eingesetzt werden, wenn Primärschlüssel im Unterricht ausdrücklich als Vertiefung behandelt wurden. Für den verbindlichen Lernbereich sind Tabelle, Datensatz, Datenfeld, Felddatentypen sowie einfache Datenmodelle maßgeblich.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vertiefung"/>
    <w:p>
      <w:pPr>
        <w:pStyle w:val="Heading3"/>
      </w:pPr>
      <w:r>
        <w:t xml:space="preserve">Aufgabe 2 (1 P) – Vertiefung</w:t>
      </w:r>
    </w:p>
    <w:p>
      <w:pPr>
        <w:pStyle w:val="FirstParagraph"/>
      </w:pPr>
      <w:r>
        <w:t xml:space="preserve">Welches Feld eignet sich am besten als eindeutige Kennzeichnung eines Datensatzes?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-vertiefung"/>
    <w:p>
      <w:pPr>
        <w:pStyle w:val="Heading3"/>
      </w:pPr>
      <w:r>
        <w:t xml:space="preserve">Aufgabe 4 (3 P) – Vertiefung</w:t>
      </w:r>
    </w:p>
    <w:p>
      <w:pPr>
        <w:pStyle w:val="FirstParagraph"/>
      </w:pPr>
      <w:r>
        <w:t xml:space="preserve">Warum ist ein Standname als eindeutige Kennzeichnung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bookmarkEnd w:id="50"/>
    <w:bookmarkStart w:id="51" w:name="aufgabe-2-1-p-2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bookmarkEnd w:id="52"/>
    <w:bookmarkStart w:id="53" w:name="aufgabe-4-3-p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werden; eine eindeutige ID vermeidet diese Mehrdeutigkeit.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Nur nach entsprechender Vertiefung einsetzen.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X476c21bf57af79fd8a1525a815d1f3c60a09bde"/>
    <w:p>
      <w:pPr>
        <w:pStyle w:val="Heading1"/>
      </w:pPr>
      <w:r>
        <w:t xml:space="preserve">LK 04: Beziehungen und Datenbankschema – optionale Vertiefung</w:t>
      </w:r>
    </w:p>
    <w:p>
      <w:pPr>
        <w:pStyle w:val="BlockText"/>
      </w:pPr>
      <w:r>
        <w:rPr>
          <w:bCs/>
          <w:b/>
        </w:rPr>
        <w:t xml:space="preserve">Hinweis für die Lehrkraft:</w:t>
      </w:r>
      <w:r>
        <w:t xml:space="preserve"> </w:t>
      </w:r>
      <w:r>
        <w:t xml:space="preserve">Diese Lernkontrolle behandelt Fremdschlüssel und 1:n-Beziehungen und ist damit</w:t>
      </w:r>
      <w:r>
        <w:t xml:space="preserve"> </w:t>
      </w:r>
      <w:r>
        <w:rPr>
          <w:bCs/>
          <w:b/>
        </w:rPr>
        <w:t xml:space="preserve">eine optionale Vertiefung</w:t>
      </w:r>
      <w:r>
        <w:t xml:space="preserve">. Sie darf nur eingesetzt werden, wenn diese Begriffe im Unterricht ausdrücklich eingeführt wurden. Sie gehört nicht automatisch zum verbindlichen Kern des Lernbereichs.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Bei einer im Unterricht behandelten 1:n-Beziehung: Wo steht der Fremdschlüssel typischerweise?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im behandelten Beispiel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ist es sinnvoll, Raumdaten nicht bei jedem Programmpunkt vollständig zu wiederholen?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bei dieser Abbildung auf der n-Seite.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die eindeutige Kennzeichnung eines Datensatzes in einer anderen Tabelle und stellt dadurch die Beziehung her.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Wiederholte Speicherung erhöht Änderungsaufwand und Fehlergefahr. Eine getrennte Raumtabelle speichert die Raumdaten einmal und verknüpft sie mit Programmpunkten.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Nur nach entsprechender Vertiefung einsetzen.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1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2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3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4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5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6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2026-08-20T06:32:07Z</dcterms:created>
  <dcterms:modified xsi:type="dcterms:W3CDTF">2026-08-20T06:32:07Z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