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2" w:name="architecture-decision-records-adr"/>
    <w:p>
      <w:pPr>
        <w:pStyle w:val="Heading1"/>
      </w:pPr>
      <w:r>
        <w:t xml:space="preserve">Architecture Decision Records (ADR)</w:t>
      </w:r>
    </w:p>
    <w:p>
      <w:pPr>
        <w:pStyle w:val="FirstParagraph"/>
      </w:pPr>
      <w:r>
        <w:t xml:space="preserve">Dieser Ordner dokumentiert grundlegende Architekturentscheidungen des OER-Lehrwerks.</w:t>
      </w:r>
    </w:p>
    <w:p>
      <w:pPr>
        <w:pStyle w:val="BodyText"/>
      </w:pPr>
      <w:r>
        <w:t xml:space="preserve">ADR-Dokumente erklären nicht nur</w:t>
      </w:r>
      <w:r>
        <w:t xml:space="preserve"> </w:t>
      </w:r>
      <w:r>
        <w:rPr>
          <w:bCs/>
          <w:b/>
        </w:rPr>
        <w:t xml:space="preserve">was</w:t>
      </w:r>
      <w:r>
        <w:t xml:space="preserve"> </w:t>
      </w:r>
      <w:r>
        <w:t xml:space="preserve">entschieden wurde, sondern auch</w:t>
      </w:r>
      <w:r>
        <w:t xml:space="preserve"> </w:t>
      </w:r>
      <w:r>
        <w:rPr>
          <w:bCs/>
          <w:b/>
        </w:rPr>
        <w:t xml:space="preserve">warum</w:t>
      </w:r>
      <w:r>
        <w:t xml:space="preserve">.</w:t>
      </w:r>
    </w:p>
    <w:bookmarkStart w:id="20" w:name="statuswerte"/>
    <w:p>
      <w:pPr>
        <w:pStyle w:val="Heading2"/>
      </w:pPr>
      <w:r>
        <w:t xml:space="preserve">Statuswerte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Vorgeschlagen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Akzeptiert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Ersetzt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Verworfen</w:t>
      </w:r>
    </w:p>
    <w:bookmarkEnd w:id="20"/>
    <w:bookmarkStart w:id="21" w:name="regel"/>
    <w:p>
      <w:pPr>
        <w:pStyle w:val="Heading2"/>
      </w:pPr>
      <w:r>
        <w:t xml:space="preserve">Regel</w:t>
      </w:r>
    </w:p>
    <w:p>
      <w:pPr>
        <w:pStyle w:val="FirstParagraph"/>
      </w:pPr>
      <w:r>
        <w:t xml:space="preserve">Bestehende ADRs werden nicht stillschweigend umgeschrieben. Ändert sich eine grundlegende Entscheidung, wird eine neue ADR erstellt und die alte als</w:t>
      </w:r>
      <w:r>
        <w:t xml:space="preserve"> </w:t>
      </w:r>
      <w:r>
        <w:rPr>
          <w:rStyle w:val="VerbatimChar"/>
        </w:rPr>
        <w:t xml:space="preserve">Ersetzt</w:t>
      </w:r>
      <w:r>
        <w:t xml:space="preserve"> </w:t>
      </w:r>
      <w:r>
        <w:t xml:space="preserve">gekennzeichnet.</w:t>
      </w:r>
    </w:p>
    <w:bookmarkEnd w:id="21"/>
    <w:bookmarkEnd w:id="22"/>
    <w:bookmarkStart w:id="29" w:name="adr-0001-repository-struktur"/>
    <w:p>
      <w:pPr>
        <w:pStyle w:val="Heading1"/>
      </w:pPr>
      <w:r>
        <w:t xml:space="preserve">ADR-0001 – Repository-Struktur</w:t>
      </w:r>
    </w:p>
    <w:bookmarkStart w:id="23" w:name="status"/>
    <w:p>
      <w:pPr>
        <w:pStyle w:val="Heading2"/>
      </w:pPr>
      <w:r>
        <w:t xml:space="preserve">Status</w:t>
      </w:r>
    </w:p>
    <w:p>
      <w:pPr>
        <w:pStyle w:val="FirstParagraph"/>
      </w:pPr>
      <w:r>
        <w:t xml:space="preserve">Akzeptiert</w:t>
      </w:r>
    </w:p>
    <w:bookmarkEnd w:id="23"/>
    <w:bookmarkStart w:id="24" w:name="kontext"/>
    <w:p>
      <w:pPr>
        <w:pStyle w:val="Heading2"/>
      </w:pPr>
      <w:r>
        <w:t xml:space="preserve">Kontext</w:t>
      </w:r>
    </w:p>
    <w:p>
      <w:pPr>
        <w:pStyle w:val="FirstParagraph"/>
      </w:pPr>
      <w:r>
        <w:t xml:space="preserve">Das Lehrwerk enthält Materialien für mehrere Klassenstufen sowie klassenübergreifende Grundlagen. Inhalte müssen schnell auffindbar, einzeln austauschbar und unabhängig versionierbar sein.</w:t>
      </w:r>
    </w:p>
    <w:bookmarkEnd w:id="24"/>
    <w:bookmarkStart w:id="25" w:name="entscheidung"/>
    <w:p>
      <w:pPr>
        <w:pStyle w:val="Heading2"/>
      </w:pPr>
      <w:r>
        <w:t xml:space="preserve">Entscheidung</w:t>
      </w:r>
    </w:p>
    <w:p>
      <w:pPr>
        <w:pStyle w:val="FirstParagraph"/>
      </w:pPr>
      <w:r>
        <w:t xml:space="preserve">Das Repository trennt klassenübergreifende Grundlagen, Klassenstufen, Dokumentation, Lizenzen und Vorlagen.</w:t>
      </w:r>
    </w:p>
    <w:p>
      <w:pPr>
        <w:pStyle w:val="BodyText"/>
      </w:pPr>
      <w:r>
        <w:t xml:space="preserve">Grundlegende Werkzeuge und Nachschlageinhalte werden außerhalb der Klassenstufen abgelegt, da sie für mehrere Klassenstufen relevant sind.</w:t>
      </w:r>
    </w:p>
    <w:p>
      <w:pPr>
        <w:pStyle w:val="BodyText"/>
      </w:pPr>
      <w:r>
        <w:t xml:space="preserve">Lehrplanbezogene Inhalte verbleiben innerhalb der jeweiligen Klassenstufe.</w:t>
      </w:r>
    </w:p>
    <w:bookmarkEnd w:id="25"/>
    <w:bookmarkStart w:id="28" w:name="konsequenzen"/>
    <w:p>
      <w:pPr>
        <w:pStyle w:val="Heading2"/>
      </w:pPr>
      <w:r>
        <w:t xml:space="preserve">Konsequenzen</w:t>
      </w:r>
    </w:p>
    <w:bookmarkStart w:id="26" w:name="vorteile"/>
    <w:p>
      <w:pPr>
        <w:pStyle w:val="Heading3"/>
      </w:pPr>
      <w:r>
        <w:t xml:space="preserve">Vorteile</w:t>
      </w:r>
    </w:p>
    <w:p>
      <w:pPr>
        <w:numPr>
          <w:ilvl w:val="0"/>
          <w:numId w:val="1002"/>
        </w:numPr>
        <w:pStyle w:val="Compact"/>
      </w:pPr>
      <w:r>
        <w:t xml:space="preserve">Keine unnötige Duplizierung von Grundlagen.</w:t>
      </w:r>
    </w:p>
    <w:p>
      <w:pPr>
        <w:numPr>
          <w:ilvl w:val="0"/>
          <w:numId w:val="1002"/>
        </w:numPr>
        <w:pStyle w:val="Compact"/>
      </w:pPr>
      <w:r>
        <w:t xml:space="preserve">Klassenstufen bleiben lehrplannah.</w:t>
      </w:r>
    </w:p>
    <w:p>
      <w:pPr>
        <w:numPr>
          <w:ilvl w:val="0"/>
          <w:numId w:val="1002"/>
        </w:numPr>
        <w:pStyle w:val="Compact"/>
      </w:pPr>
      <w:r>
        <w:t xml:space="preserve">Materialien können unabhängig gepflegt werden.</w:t>
      </w:r>
    </w:p>
    <w:p>
      <w:pPr>
        <w:numPr>
          <w:ilvl w:val="0"/>
          <w:numId w:val="1002"/>
        </w:numPr>
        <w:pStyle w:val="Compact"/>
      </w:pPr>
      <w:r>
        <w:t xml:space="preserve">Lehrkräfte finden Werkzeughilfen zentral.</w:t>
      </w:r>
    </w:p>
    <w:bookmarkEnd w:id="26"/>
    <w:bookmarkStart w:id="27" w:name="nachteile"/>
    <w:p>
      <w:pPr>
        <w:pStyle w:val="Heading3"/>
      </w:pPr>
      <w:r>
        <w:t xml:space="preserve">Nachteile</w:t>
      </w:r>
    </w:p>
    <w:p>
      <w:pPr>
        <w:numPr>
          <w:ilvl w:val="0"/>
          <w:numId w:val="1003"/>
        </w:numPr>
        <w:pStyle w:val="Compact"/>
      </w:pPr>
      <w:r>
        <w:t xml:space="preserve">Fachkapitel müssen teilweise auf Grundlagen verweisen.</w:t>
      </w:r>
    </w:p>
    <w:p>
      <w:pPr>
        <w:numPr>
          <w:ilvl w:val="0"/>
          <w:numId w:val="1003"/>
        </w:numPr>
        <w:pStyle w:val="Compact"/>
      </w:pPr>
      <w:r>
        <w:t xml:space="preserve">Querverweise müssen bei Umstrukturierungen geprüft werden.</w:t>
      </w:r>
    </w:p>
    <w:bookmarkEnd w:id="27"/>
    <w:bookmarkEnd w:id="28"/>
    <w:bookmarkEnd w:id="29"/>
    <w:bookmarkStart w:id="34" w:name="X0290628f918f5e0a0b9a5ffee41684fbb1c0fa0"/>
    <w:p>
      <w:pPr>
        <w:pStyle w:val="Heading1"/>
      </w:pPr>
      <w:r>
        <w:t xml:space="preserve">ADR-0002 – Grundlagen sind klassenübergreifend</w:t>
      </w:r>
    </w:p>
    <w:bookmarkStart w:id="30" w:name="status-1"/>
    <w:p>
      <w:pPr>
        <w:pStyle w:val="Heading2"/>
      </w:pPr>
      <w:r>
        <w:t xml:space="preserve">Status</w:t>
      </w:r>
    </w:p>
    <w:p>
      <w:pPr>
        <w:pStyle w:val="FirstParagraph"/>
      </w:pPr>
      <w:r>
        <w:t xml:space="preserve">Akzeptiert</w:t>
      </w:r>
    </w:p>
    <w:bookmarkEnd w:id="30"/>
    <w:bookmarkStart w:id="31" w:name="kontext-1"/>
    <w:p>
      <w:pPr>
        <w:pStyle w:val="Heading2"/>
      </w:pPr>
      <w:r>
        <w:t xml:space="preserve">Kontext</w:t>
      </w:r>
    </w:p>
    <w:p>
      <w:pPr>
        <w:pStyle w:val="FirstParagraph"/>
      </w:pPr>
      <w:r>
        <w:t xml:space="preserve">Themen wie Scratch, Python, GitHub, Markdown, VS Code, Datenschutz oder Dateiverwaltung werden in mehreren Klassenstufen benötigt.</w:t>
      </w:r>
    </w:p>
    <w:bookmarkEnd w:id="31"/>
    <w:bookmarkStart w:id="32" w:name="entscheidung-1"/>
    <w:p>
      <w:pPr>
        <w:pStyle w:val="Heading2"/>
      </w:pPr>
      <w:r>
        <w:t xml:space="preserve">Entscheidung</w:t>
      </w:r>
    </w:p>
    <w:p>
      <w:pPr>
        <w:pStyle w:val="FirstParagraph"/>
      </w:pPr>
      <w:r>
        <w:t xml:space="preserve">Der Bereich</w:t>
      </w:r>
      <w:r>
        <w:t xml:space="preserve"> </w:t>
      </w:r>
      <w:r>
        <w:rPr>
          <w:rStyle w:val="VerbatimChar"/>
        </w:rPr>
        <w:t xml:space="preserve">Grundlagen/</w:t>
      </w:r>
      <w:r>
        <w:t xml:space="preserve"> </w:t>
      </w:r>
      <w:r>
        <w:t xml:space="preserve">liegt oberhalb der Klassenstufen.</w:t>
      </w:r>
    </w:p>
    <w:p>
      <w:pPr>
        <w:pStyle w:val="BodyText"/>
      </w:pPr>
      <w:r>
        <w:t xml:space="preserve">Aktuell vorgesehene Bereiche sind:</w:t>
      </w:r>
    </w:p>
    <w:p>
      <w:pPr>
        <w:numPr>
          <w:ilvl w:val="0"/>
          <w:numId w:val="1004"/>
        </w:numPr>
        <w:pStyle w:val="Compact"/>
      </w:pPr>
      <w:r>
        <w:t xml:space="preserve">Computer</w:t>
      </w:r>
    </w:p>
    <w:p>
      <w:pPr>
        <w:numPr>
          <w:ilvl w:val="0"/>
          <w:numId w:val="1004"/>
        </w:numPr>
        <w:pStyle w:val="Compact"/>
      </w:pPr>
      <w:r>
        <w:t xml:space="preserve">Dateiverwaltung</w:t>
      </w:r>
    </w:p>
    <w:p>
      <w:pPr>
        <w:numPr>
          <w:ilvl w:val="0"/>
          <w:numId w:val="1004"/>
        </w:numPr>
        <w:pStyle w:val="Compact"/>
      </w:pPr>
      <w:r>
        <w:t xml:space="preserve">Datenschutz</w:t>
      </w:r>
    </w:p>
    <w:p>
      <w:pPr>
        <w:numPr>
          <w:ilvl w:val="0"/>
          <w:numId w:val="1004"/>
        </w:numPr>
        <w:pStyle w:val="Compact"/>
      </w:pPr>
      <w:r>
        <w:t xml:space="preserve">GitHub</w:t>
      </w:r>
    </w:p>
    <w:p>
      <w:pPr>
        <w:numPr>
          <w:ilvl w:val="0"/>
          <w:numId w:val="1004"/>
        </w:numPr>
        <w:pStyle w:val="Compact"/>
      </w:pPr>
      <w:r>
        <w:t xml:space="preserve">Glossar</w:t>
      </w:r>
    </w:p>
    <w:p>
      <w:pPr>
        <w:numPr>
          <w:ilvl w:val="0"/>
          <w:numId w:val="1004"/>
        </w:numPr>
        <w:pStyle w:val="Compact"/>
      </w:pPr>
      <w:r>
        <w:t xml:space="preserve">KI</w:t>
      </w:r>
    </w:p>
    <w:p>
      <w:pPr>
        <w:numPr>
          <w:ilvl w:val="0"/>
          <w:numId w:val="1004"/>
        </w:numPr>
        <w:pStyle w:val="Compact"/>
      </w:pPr>
      <w:r>
        <w:t xml:space="preserve">Lizenzen</w:t>
      </w:r>
    </w:p>
    <w:p>
      <w:pPr>
        <w:numPr>
          <w:ilvl w:val="0"/>
          <w:numId w:val="1004"/>
        </w:numPr>
        <w:pStyle w:val="Compact"/>
      </w:pPr>
      <w:r>
        <w:t xml:space="preserve">Markdown</w:t>
      </w:r>
    </w:p>
    <w:p>
      <w:pPr>
        <w:numPr>
          <w:ilvl w:val="0"/>
          <w:numId w:val="1004"/>
        </w:numPr>
        <w:pStyle w:val="Compact"/>
      </w:pPr>
      <w:r>
        <w:t xml:space="preserve">Python</w:t>
      </w:r>
    </w:p>
    <w:p>
      <w:pPr>
        <w:numPr>
          <w:ilvl w:val="0"/>
          <w:numId w:val="1004"/>
        </w:numPr>
        <w:pStyle w:val="Compact"/>
      </w:pPr>
      <w:r>
        <w:t xml:space="preserve">Scratch</w:t>
      </w:r>
    </w:p>
    <w:p>
      <w:pPr>
        <w:numPr>
          <w:ilvl w:val="0"/>
          <w:numId w:val="1004"/>
        </w:numPr>
        <w:pStyle w:val="Compact"/>
      </w:pPr>
      <w:r>
        <w:t xml:space="preserve">VSCode</w:t>
      </w:r>
    </w:p>
    <w:p>
      <w:pPr>
        <w:pStyle w:val="FirstParagraph"/>
      </w:pPr>
      <w:r>
        <w:t xml:space="preserve">Die Grundlagen erklären Werkzeuge und Basiswissen. Lehrplaninhalte wie Algorithmierung, Verzweigungen oder Wiederholungen gehören nicht in diesen Bereich.</w:t>
      </w:r>
    </w:p>
    <w:bookmarkEnd w:id="32"/>
    <w:bookmarkStart w:id="33" w:name="konsequenzen-1"/>
    <w:p>
      <w:pPr>
        <w:pStyle w:val="Heading2"/>
      </w:pPr>
      <w:r>
        <w:t xml:space="preserve">Konsequenzen</w:t>
      </w:r>
    </w:p>
    <w:p>
      <w:pPr>
        <w:pStyle w:val="FirstParagraph"/>
      </w:pPr>
      <w:r>
        <w:t xml:space="preserve">Grundlagen können als Nachschlagewerk genutzt werden, ohne Unterrichtsinhalte zu duplizieren.</w:t>
      </w:r>
    </w:p>
    <w:p>
      <w:pPr>
        <w:pStyle w:val="BodyText"/>
      </w:pPr>
      <w:r>
        <w:t xml:space="preserve">Fachkapitel konzentrieren sich auf informatische Konzepte und verweisen bei Bedarf auf die Grundlagen.</w:t>
      </w:r>
    </w:p>
    <w:bookmarkEnd w:id="33"/>
    <w:bookmarkEnd w:id="34"/>
    <w:bookmarkStart w:id="39" w:name="X88becfb713915f705147e13eaf323fd2398792a"/>
    <w:p>
      <w:pPr>
        <w:pStyle w:val="Heading1"/>
      </w:pPr>
      <w:r>
        <w:t xml:space="preserve">ADR-0003 – Arbeitsheft und Lehrerband werden getrennt</w:t>
      </w:r>
    </w:p>
    <w:bookmarkStart w:id="35" w:name="status-2"/>
    <w:p>
      <w:pPr>
        <w:pStyle w:val="Heading2"/>
      </w:pPr>
      <w:r>
        <w:t xml:space="preserve">Status</w:t>
      </w:r>
    </w:p>
    <w:p>
      <w:pPr>
        <w:pStyle w:val="FirstParagraph"/>
      </w:pPr>
      <w:r>
        <w:t xml:space="preserve">Akzeptiert</w:t>
      </w:r>
    </w:p>
    <w:bookmarkEnd w:id="35"/>
    <w:bookmarkStart w:id="36" w:name="kontext-2"/>
    <w:p>
      <w:pPr>
        <w:pStyle w:val="Heading2"/>
      </w:pPr>
      <w:r>
        <w:t xml:space="preserve">Kontext</w:t>
      </w:r>
    </w:p>
    <w:p>
      <w:pPr>
        <w:pStyle w:val="FirstParagraph"/>
      </w:pPr>
      <w:r>
        <w:t xml:space="preserve">Schülerinnen und Schüler benötigen verständliche Lerntexte und Aufgaben. Lehrkräfte benötigen zusätzlich Zeitplanung, Lösungen, didaktische Hinweise, Differenzierung und typische Fehlvorstellungen.</w:t>
      </w:r>
    </w:p>
    <w:bookmarkEnd w:id="36"/>
    <w:bookmarkStart w:id="37" w:name="entscheidung-2"/>
    <w:p>
      <w:pPr>
        <w:pStyle w:val="Heading2"/>
      </w:pPr>
      <w:r>
        <w:t xml:space="preserve">Entscheidung</w:t>
      </w:r>
    </w:p>
    <w:p>
      <w:pPr>
        <w:pStyle w:val="FirstParagraph"/>
      </w:pPr>
      <w:r>
        <w:t xml:space="preserve">Arbeitsheft und Lehrerband werden als getrennte Werkteile geführt.</w:t>
      </w:r>
    </w:p>
    <w:p>
      <w:pPr>
        <w:pStyle w:val="BodyText"/>
      </w:pPr>
      <w:r>
        <w:t xml:space="preserve">Wo sinnvoll, verwenden beide dieselben oder eindeutig zuordenbare Dateinamen.</w:t>
      </w:r>
    </w:p>
    <w:p>
      <w:pPr>
        <w:pStyle w:val="BodyText"/>
      </w:pPr>
      <w:r>
        <w:t xml:space="preserve">Das Arbeitsheft spricht direkt die Lernenden an.</w:t>
      </w:r>
    </w:p>
    <w:p>
      <w:pPr>
        <w:pStyle w:val="BodyText"/>
      </w:pPr>
      <w:r>
        <w:t xml:space="preserve">Der Lehrerband enthält insbesondere:</w:t>
      </w:r>
    </w:p>
    <w:p>
      <w:pPr>
        <w:numPr>
          <w:ilvl w:val="0"/>
          <w:numId w:val="1005"/>
        </w:numPr>
        <w:pStyle w:val="Compact"/>
      </w:pPr>
      <w:r>
        <w:t xml:space="preserve">Lernziele</w:t>
      </w:r>
    </w:p>
    <w:p>
      <w:pPr>
        <w:numPr>
          <w:ilvl w:val="0"/>
          <w:numId w:val="1005"/>
        </w:numPr>
        <w:pStyle w:val="Compact"/>
      </w:pPr>
      <w:r>
        <w:t xml:space="preserve">Zeitbedarf</w:t>
      </w:r>
    </w:p>
    <w:p>
      <w:pPr>
        <w:numPr>
          <w:ilvl w:val="0"/>
          <w:numId w:val="1005"/>
        </w:numPr>
        <w:pStyle w:val="Compact"/>
      </w:pPr>
      <w:r>
        <w:t xml:space="preserve">Sozialform</w:t>
      </w:r>
    </w:p>
    <w:p>
      <w:pPr>
        <w:numPr>
          <w:ilvl w:val="0"/>
          <w:numId w:val="1005"/>
        </w:numPr>
        <w:pStyle w:val="Compact"/>
      </w:pPr>
      <w:r>
        <w:t xml:space="preserve">Materialien</w:t>
      </w:r>
    </w:p>
    <w:p>
      <w:pPr>
        <w:numPr>
          <w:ilvl w:val="0"/>
          <w:numId w:val="1005"/>
        </w:numPr>
        <w:pStyle w:val="Compact"/>
      </w:pPr>
      <w:r>
        <w:t xml:space="preserve">Unterrichtsverlauf</w:t>
      </w:r>
    </w:p>
    <w:p>
      <w:pPr>
        <w:numPr>
          <w:ilvl w:val="0"/>
          <w:numId w:val="1005"/>
        </w:numPr>
        <w:pStyle w:val="Compact"/>
      </w:pPr>
      <w:r>
        <w:t xml:space="preserve">mögliche Schülerantworten</w:t>
      </w:r>
    </w:p>
    <w:p>
      <w:pPr>
        <w:numPr>
          <w:ilvl w:val="0"/>
          <w:numId w:val="1005"/>
        </w:numPr>
        <w:pStyle w:val="Compact"/>
      </w:pPr>
      <w:r>
        <w:t xml:space="preserve">typische Schwierigkeiten</w:t>
      </w:r>
    </w:p>
    <w:p>
      <w:pPr>
        <w:numPr>
          <w:ilvl w:val="0"/>
          <w:numId w:val="1005"/>
        </w:numPr>
        <w:pStyle w:val="Compact"/>
      </w:pPr>
      <w:r>
        <w:t xml:space="preserve">Differenzierung</w:t>
      </w:r>
    </w:p>
    <w:p>
      <w:pPr>
        <w:numPr>
          <w:ilvl w:val="0"/>
          <w:numId w:val="1005"/>
        </w:numPr>
        <w:pStyle w:val="Compact"/>
      </w:pPr>
      <w:r>
        <w:t xml:space="preserve">Lösungen</w:t>
      </w:r>
    </w:p>
    <w:p>
      <w:pPr>
        <w:numPr>
          <w:ilvl w:val="0"/>
          <w:numId w:val="1005"/>
        </w:numPr>
        <w:pStyle w:val="Compact"/>
      </w:pPr>
      <w:r>
        <w:t xml:space="preserve">Hinweise aus der Unterrichtspraxis</w:t>
      </w:r>
    </w:p>
    <w:bookmarkEnd w:id="37"/>
    <w:bookmarkStart w:id="38" w:name="konsequenzen-2"/>
    <w:p>
      <w:pPr>
        <w:pStyle w:val="Heading2"/>
      </w:pPr>
      <w:r>
        <w:t xml:space="preserve">Konsequenzen</w:t>
      </w:r>
    </w:p>
    <w:p>
      <w:pPr>
        <w:pStyle w:val="FirstParagraph"/>
      </w:pPr>
      <w:r>
        <w:t xml:space="preserve">Schülertexte bleiben schlank und verständlich.</w:t>
      </w:r>
    </w:p>
    <w:p>
      <w:pPr>
        <w:pStyle w:val="BodyText"/>
      </w:pPr>
      <w:r>
        <w:t xml:space="preserve">Lehrkräfte erhalten zusätzliche Unterstützung, ohne dass diese Informationen das Arbeitsheft überladen.</w:t>
      </w:r>
    </w:p>
    <w:bookmarkEnd w:id="38"/>
    <w:bookmarkEnd w:id="39"/>
    <w:bookmarkStart w:id="44" w:name="adr-0004-problemorientierte-didaktik"/>
    <w:p>
      <w:pPr>
        <w:pStyle w:val="Heading1"/>
      </w:pPr>
      <w:r>
        <w:t xml:space="preserve">ADR-0004 – Problemorientierte Didaktik</w:t>
      </w:r>
    </w:p>
    <w:bookmarkStart w:id="40" w:name="status-3"/>
    <w:p>
      <w:pPr>
        <w:pStyle w:val="Heading2"/>
      </w:pPr>
      <w:r>
        <w:t xml:space="preserve">Status</w:t>
      </w:r>
    </w:p>
    <w:p>
      <w:pPr>
        <w:pStyle w:val="FirstParagraph"/>
      </w:pPr>
      <w:r>
        <w:t xml:space="preserve">Akzeptiert</w:t>
      </w:r>
    </w:p>
    <w:bookmarkEnd w:id="40"/>
    <w:bookmarkStart w:id="41" w:name="kontext-3"/>
    <w:p>
      <w:pPr>
        <w:pStyle w:val="Heading2"/>
      </w:pPr>
      <w:r>
        <w:t xml:space="preserve">Kontext</w:t>
      </w:r>
    </w:p>
    <w:p>
      <w:pPr>
        <w:pStyle w:val="FirstParagraph"/>
      </w:pPr>
      <w:r>
        <w:t xml:space="preserve">Das Lehrwerk soll nicht primär Programmiersprachen vermitteln, sondern systematisches und informatisches Denken fördern.</w:t>
      </w:r>
    </w:p>
    <w:bookmarkEnd w:id="41"/>
    <w:bookmarkStart w:id="42" w:name="entscheidung-3"/>
    <w:p>
      <w:pPr>
        <w:pStyle w:val="Heading2"/>
      </w:pPr>
      <w:r>
        <w:t xml:space="preserve">Entscheidung</w:t>
      </w:r>
    </w:p>
    <w:p>
      <w:pPr>
        <w:pStyle w:val="FirstParagraph"/>
      </w:pPr>
      <w:r>
        <w:t xml:space="preserve">Neue Inhalte werden möglichst aus einem Problem oder einer konkreten Situation entwickelt.</w:t>
      </w:r>
    </w:p>
    <w:p>
      <w:pPr>
        <w:pStyle w:val="BodyText"/>
      </w:pPr>
      <w:r>
        <w:t xml:space="preserve">Die typische Lernbewegung lautet:</w:t>
      </w:r>
    </w:p>
    <w:p>
      <w:pPr>
        <w:numPr>
          <w:ilvl w:val="0"/>
          <w:numId w:val="1006"/>
        </w:numPr>
        <w:pStyle w:val="Compact"/>
      </w:pPr>
      <w:r>
        <w:t xml:space="preserve">Problem verstehen</w:t>
      </w:r>
    </w:p>
    <w:p>
      <w:pPr>
        <w:numPr>
          <w:ilvl w:val="0"/>
          <w:numId w:val="1006"/>
        </w:numPr>
        <w:pStyle w:val="Compact"/>
      </w:pPr>
      <w:r>
        <w:t xml:space="preserve">Beobachten und analysieren</w:t>
      </w:r>
    </w:p>
    <w:p>
      <w:pPr>
        <w:numPr>
          <w:ilvl w:val="0"/>
          <w:numId w:val="1006"/>
        </w:numPr>
        <w:pStyle w:val="Compact"/>
      </w:pPr>
      <w:r>
        <w:t xml:space="preserve">Lösungsideen entwickeln</w:t>
      </w:r>
    </w:p>
    <w:p>
      <w:pPr>
        <w:numPr>
          <w:ilvl w:val="0"/>
          <w:numId w:val="1006"/>
        </w:numPr>
        <w:pStyle w:val="Compact"/>
      </w:pPr>
      <w:r>
        <w:t xml:space="preserve">Algorithmus formulieren</w:t>
      </w:r>
    </w:p>
    <w:p>
      <w:pPr>
        <w:numPr>
          <w:ilvl w:val="0"/>
          <w:numId w:val="1006"/>
        </w:numPr>
        <w:pStyle w:val="Compact"/>
      </w:pPr>
      <w:r>
        <w:t xml:space="preserve">Darstellung oder Werkzeug wählen</w:t>
      </w:r>
    </w:p>
    <w:p>
      <w:pPr>
        <w:numPr>
          <w:ilvl w:val="0"/>
          <w:numId w:val="1006"/>
        </w:numPr>
        <w:pStyle w:val="Compact"/>
      </w:pPr>
      <w:r>
        <w:t xml:space="preserve">Umsetzen</w:t>
      </w:r>
    </w:p>
    <w:p>
      <w:pPr>
        <w:numPr>
          <w:ilvl w:val="0"/>
          <w:numId w:val="1006"/>
        </w:numPr>
        <w:pStyle w:val="Compact"/>
      </w:pPr>
      <w:r>
        <w:t xml:space="preserve">Testen</w:t>
      </w:r>
    </w:p>
    <w:p>
      <w:pPr>
        <w:numPr>
          <w:ilvl w:val="0"/>
          <w:numId w:val="1006"/>
        </w:numPr>
        <w:pStyle w:val="Compact"/>
      </w:pPr>
      <w:r>
        <w:t xml:space="preserve">Verbessern</w:t>
      </w:r>
    </w:p>
    <w:p>
      <w:pPr>
        <w:numPr>
          <w:ilvl w:val="0"/>
          <w:numId w:val="1006"/>
        </w:numPr>
        <w:pStyle w:val="Compact"/>
      </w:pPr>
      <w:r>
        <w:t xml:space="preserve">Reflektieren und übertragen</w:t>
      </w:r>
    </w:p>
    <w:p>
      <w:pPr>
        <w:pStyle w:val="FirstParagraph"/>
      </w:pPr>
      <w:r>
        <w:t xml:space="preserve">Definitionen und Fachbegriffe werden nach Möglichkeit erst eingeführt, nachdem die zugrunde liegende Idee verstanden wurde.</w:t>
      </w:r>
    </w:p>
    <w:bookmarkEnd w:id="42"/>
    <w:bookmarkStart w:id="43" w:name="konsequenzen-3"/>
    <w:p>
      <w:pPr>
        <w:pStyle w:val="Heading2"/>
      </w:pPr>
      <w:r>
        <w:t xml:space="preserve">Konsequenzen</w:t>
      </w:r>
    </w:p>
    <w:p>
      <w:pPr>
        <w:pStyle w:val="FirstParagraph"/>
      </w:pPr>
      <w:r>
        <w:t xml:space="preserve">Das Lehrwerk benötigt weniger reine Syntaxübungen und mehr Aufgaben zum Analysieren, Begründen, Testen und Verbessern.</w:t>
      </w:r>
    </w:p>
    <w:p>
      <w:pPr>
        <w:pStyle w:val="BodyText"/>
      </w:pPr>
      <w:r>
        <w:t xml:space="preserve">Der Unterricht bleibt modular: Pflichtinhalte können knapp behandelt werden, Zusatzinformationen stehen für Vertiefung bereit.</w:t>
      </w:r>
    </w:p>
    <w:bookmarkEnd w:id="43"/>
    <w:bookmarkEnd w:id="44"/>
    <w:bookmarkStart w:id="49" w:name="X643348622ba0c2d5e8b07acc783f9875394ea1a"/>
    <w:p>
      <w:pPr>
        <w:pStyle w:val="Heading1"/>
      </w:pPr>
      <w:r>
        <w:t xml:space="preserve">ADR-0005 – Programmiersprachen sind Werkzeuge</w:t>
      </w:r>
    </w:p>
    <w:bookmarkStart w:id="45" w:name="status-4"/>
    <w:p>
      <w:pPr>
        <w:pStyle w:val="Heading2"/>
      </w:pPr>
      <w:r>
        <w:t xml:space="preserve">Status</w:t>
      </w:r>
    </w:p>
    <w:p>
      <w:pPr>
        <w:pStyle w:val="FirstParagraph"/>
      </w:pPr>
      <w:r>
        <w:t xml:space="preserve">Akzeptiert</w:t>
      </w:r>
    </w:p>
    <w:bookmarkEnd w:id="45"/>
    <w:bookmarkStart w:id="46" w:name="kontext-4"/>
    <w:p>
      <w:pPr>
        <w:pStyle w:val="Heading2"/>
      </w:pPr>
      <w:r>
        <w:t xml:space="preserve">Kontext</w:t>
      </w:r>
    </w:p>
    <w:p>
      <w:pPr>
        <w:pStyle w:val="FirstParagraph"/>
      </w:pPr>
      <w:r>
        <w:t xml:space="preserve">Algorithmen und Problemlösungsstrategien sind nicht an eine bestimmte Programmiersprache gebunden.</w:t>
      </w:r>
    </w:p>
    <w:bookmarkEnd w:id="46"/>
    <w:bookmarkStart w:id="47" w:name="entscheidung-4"/>
    <w:p>
      <w:pPr>
        <w:pStyle w:val="Heading2"/>
      </w:pPr>
      <w:r>
        <w:t xml:space="preserve">Entscheidung</w:t>
      </w:r>
    </w:p>
    <w:p>
      <w:pPr>
        <w:pStyle w:val="FirstParagraph"/>
      </w:pPr>
      <w:r>
        <w:t xml:space="preserve">Das Lehrwerk trennt konsequent zwischen Problem, Algorithmus und Umsetzung.</w:t>
      </w:r>
    </w:p>
    <w:p>
      <w:pPr>
        <w:pStyle w:val="BodyText"/>
      </w:pPr>
      <w:r>
        <w:t xml:space="preserve">Programmiersprachen sind Wege zur Umsetzung eines Algorithmus.</w:t>
      </w:r>
    </w:p>
    <w:p>
      <w:pPr>
        <w:pStyle w:val="BodyText"/>
      </w:pPr>
      <w:r>
        <w:t xml:space="preserve">Scratch und Python werden bevorzugt eingesetzt, weil sie unterschiedliche Darstellungsformen sichtbar machen:</w:t>
      </w:r>
    </w:p>
    <w:p>
      <w:pPr>
        <w:numPr>
          <w:ilvl w:val="0"/>
          <w:numId w:val="1007"/>
        </w:numPr>
        <w:pStyle w:val="Compact"/>
      </w:pPr>
      <w:r>
        <w:t xml:space="preserve">Scratch: blockbasiert</w:t>
      </w:r>
    </w:p>
    <w:p>
      <w:pPr>
        <w:numPr>
          <w:ilvl w:val="0"/>
          <w:numId w:val="1007"/>
        </w:numPr>
        <w:pStyle w:val="Compact"/>
      </w:pPr>
      <w:r>
        <w:t xml:space="preserve">Python: textbasiert</w:t>
      </w:r>
    </w:p>
    <w:p>
      <w:pPr>
        <w:pStyle w:val="FirstParagraph"/>
      </w:pPr>
      <w:r>
        <w:t xml:space="preserve">Die zugrunde liegenden Konzepte sollen so formuliert werden, dass sie auch auf andere Sprachen wie BASIC, VBA, Java oder C# übertragbar bleiben.</w:t>
      </w:r>
    </w:p>
    <w:bookmarkEnd w:id="47"/>
    <w:bookmarkStart w:id="48" w:name="konsequenzen-4"/>
    <w:p>
      <w:pPr>
        <w:pStyle w:val="Heading2"/>
      </w:pPr>
      <w:r>
        <w:t xml:space="preserve">Konsequenzen</w:t>
      </w:r>
    </w:p>
    <w:p>
      <w:pPr>
        <w:pStyle w:val="FirstParagraph"/>
      </w:pPr>
      <w:r>
        <w:t xml:space="preserve">Syntax wird nur eingeführt, wenn sie für eine konkrete Lösung benötigt wird.</w:t>
      </w:r>
    </w:p>
    <w:p>
      <w:pPr>
        <w:pStyle w:val="BodyText"/>
      </w:pPr>
      <w:r>
        <w:t xml:space="preserve">Formulierungen wie „Lerne Python“ werden möglichst vermieden. Stattdessen wird ein Algorithmus „in Python umgesetzt“ oder „mit Python dargestellt“.</w:t>
      </w:r>
    </w:p>
    <w:p>
      <w:pPr>
        <w:pStyle w:val="BodyText"/>
      </w:pPr>
      <w:r>
        <w:t xml:space="preserve">Bei späteren Themen wie Objektorientierung kann die Wahl der Sprache stärker fachlich relevant werden.</w:t>
      </w:r>
    </w:p>
    <w:bookmarkEnd w:id="48"/>
    <w:bookmarkEnd w:id="49"/>
    <w:bookmarkStart w:id="54" w:name="Xa4795b3b120fb340d846028b10c5a1798059989"/>
    <w:p>
      <w:pPr>
        <w:pStyle w:val="Heading1"/>
      </w:pPr>
      <w:r>
        <w:t xml:space="preserve">ADR-0006 – Iterativ-inkrementelles Arbeiten</w:t>
      </w:r>
    </w:p>
    <w:bookmarkStart w:id="50" w:name="status-5"/>
    <w:p>
      <w:pPr>
        <w:pStyle w:val="Heading2"/>
      </w:pPr>
      <w:r>
        <w:t xml:space="preserve">Status</w:t>
      </w:r>
    </w:p>
    <w:p>
      <w:pPr>
        <w:pStyle w:val="FirstParagraph"/>
      </w:pPr>
      <w:r>
        <w:t xml:space="preserve">Akzeptiert</w:t>
      </w:r>
    </w:p>
    <w:bookmarkEnd w:id="50"/>
    <w:bookmarkStart w:id="51" w:name="kontext-5"/>
    <w:p>
      <w:pPr>
        <w:pStyle w:val="Heading2"/>
      </w:pPr>
      <w:r>
        <w:t xml:space="preserve">Kontext</w:t>
      </w:r>
    </w:p>
    <w:p>
      <w:pPr>
        <w:pStyle w:val="FirstParagraph"/>
      </w:pPr>
      <w:r>
        <w:t xml:space="preserve">Problemlösungen und Programme entstehen selten im ersten Versuch vollständig und fehlerfrei.</w:t>
      </w:r>
    </w:p>
    <w:bookmarkEnd w:id="51"/>
    <w:bookmarkStart w:id="52" w:name="entscheidung-5"/>
    <w:p>
      <w:pPr>
        <w:pStyle w:val="Heading2"/>
      </w:pPr>
      <w:r>
        <w:t xml:space="preserve">Entscheidung</w:t>
      </w:r>
    </w:p>
    <w:p>
      <w:pPr>
        <w:pStyle w:val="FirstParagraph"/>
      </w:pPr>
      <w:r>
        <w:t xml:space="preserve">Das Lehrwerk vermittelt von Beginn an einen iterativ-inkrementellen Entwicklungsprozess.</w:t>
      </w:r>
    </w:p>
    <w:p>
      <w:pPr>
        <w:pStyle w:val="BodyText"/>
      </w:pPr>
      <w:r>
        <w:t xml:space="preserve">Iterativ bedeutet:</w:t>
      </w:r>
    </w:p>
    <w:p>
      <w:pPr>
        <w:numPr>
          <w:ilvl w:val="0"/>
          <w:numId w:val="1008"/>
        </w:numPr>
        <w:pStyle w:val="Compact"/>
      </w:pPr>
      <w:r>
        <w:t xml:space="preserve">entwickeln</w:t>
      </w:r>
    </w:p>
    <w:p>
      <w:pPr>
        <w:numPr>
          <w:ilvl w:val="0"/>
          <w:numId w:val="1008"/>
        </w:numPr>
        <w:pStyle w:val="Compact"/>
      </w:pPr>
      <w:r>
        <w:t xml:space="preserve">testen</w:t>
      </w:r>
    </w:p>
    <w:p>
      <w:pPr>
        <w:numPr>
          <w:ilvl w:val="0"/>
          <w:numId w:val="1008"/>
        </w:numPr>
        <w:pStyle w:val="Compact"/>
      </w:pPr>
      <w:r>
        <w:t xml:space="preserve">analysieren</w:t>
      </w:r>
    </w:p>
    <w:p>
      <w:pPr>
        <w:numPr>
          <w:ilvl w:val="0"/>
          <w:numId w:val="1008"/>
        </w:numPr>
        <w:pStyle w:val="Compact"/>
      </w:pPr>
      <w:r>
        <w:t xml:space="preserve">verbessern</w:t>
      </w:r>
    </w:p>
    <w:p>
      <w:pPr>
        <w:numPr>
          <w:ilvl w:val="0"/>
          <w:numId w:val="1008"/>
        </w:numPr>
        <w:pStyle w:val="Compact"/>
      </w:pPr>
      <w:r>
        <w:t xml:space="preserve">erneut testen</w:t>
      </w:r>
    </w:p>
    <w:p>
      <w:pPr>
        <w:pStyle w:val="FirstParagraph"/>
      </w:pPr>
      <w:r>
        <w:t xml:space="preserve">Inkrementell bedeutet:</w:t>
      </w:r>
    </w:p>
    <w:p>
      <w:pPr>
        <w:numPr>
          <w:ilvl w:val="0"/>
          <w:numId w:val="1009"/>
        </w:numPr>
        <w:pStyle w:val="Compact"/>
      </w:pPr>
      <w:r>
        <w:t xml:space="preserve">mit einer kleinen funktionsfähigen Lösung beginnen</w:t>
      </w:r>
    </w:p>
    <w:p>
      <w:pPr>
        <w:numPr>
          <w:ilvl w:val="0"/>
          <w:numId w:val="1009"/>
        </w:numPr>
        <w:pStyle w:val="Compact"/>
      </w:pPr>
      <w:r>
        <w:t xml:space="preserve">Funktionen schrittweise ergänzen</w:t>
      </w:r>
    </w:p>
    <w:bookmarkEnd w:id="52"/>
    <w:bookmarkStart w:id="53" w:name="konsequenzen-5"/>
    <w:p>
      <w:pPr>
        <w:pStyle w:val="Heading2"/>
      </w:pPr>
      <w:r>
        <w:t xml:space="preserve">Konsequenzen</w:t>
      </w:r>
    </w:p>
    <w:p>
      <w:pPr>
        <w:pStyle w:val="FirstParagraph"/>
      </w:pPr>
      <w:r>
        <w:t xml:space="preserve">Fehler werden als Lerngelegenheiten behandelt.</w:t>
      </w:r>
    </w:p>
    <w:p>
      <w:pPr>
        <w:pStyle w:val="BodyText"/>
      </w:pPr>
      <w:r>
        <w:t xml:space="preserve">Aufgaben verlangen regelmäßig, dass Lernende Lösungen testen, vergleichen und verbessern.</w:t>
      </w:r>
    </w:p>
    <w:p>
      <w:pPr>
        <w:pStyle w:val="BodyText"/>
      </w:pPr>
      <w:r>
        <w:t xml:space="preserve">Musterlösungen dürfen mehrere sinnvolle Lösungswege zeigen.</w:t>
      </w:r>
    </w:p>
    <w:bookmarkEnd w:id="53"/>
    <w:bookmarkEnd w:id="54"/>
    <w:bookmarkStart w:id="59" w:name="adr-0007-kai-als-didaktischer-begleiter"/>
    <w:p>
      <w:pPr>
        <w:pStyle w:val="Heading1"/>
      </w:pPr>
      <w:r>
        <w:t xml:space="preserve">ADR-0007 – KAI als didaktischer Begleiter</w:t>
      </w:r>
    </w:p>
    <w:bookmarkStart w:id="55" w:name="status-6"/>
    <w:p>
      <w:pPr>
        <w:pStyle w:val="Heading2"/>
      </w:pPr>
      <w:r>
        <w:t xml:space="preserve">Status</w:t>
      </w:r>
    </w:p>
    <w:p>
      <w:pPr>
        <w:pStyle w:val="FirstParagraph"/>
      </w:pPr>
      <w:r>
        <w:t xml:space="preserve">Akzeptiert</w:t>
      </w:r>
    </w:p>
    <w:bookmarkEnd w:id="55"/>
    <w:bookmarkStart w:id="56" w:name="kontext-6"/>
    <w:p>
      <w:pPr>
        <w:pStyle w:val="Heading2"/>
      </w:pPr>
      <w:r>
        <w:t xml:space="preserve">Kontext</w:t>
      </w:r>
    </w:p>
    <w:p>
      <w:pPr>
        <w:pStyle w:val="FirstParagraph"/>
      </w:pPr>
      <w:r>
        <w:t xml:space="preserve">Abstrakte Eigenschaften von Computern und Algorithmen sind für Lernende leichter verständlich, wenn konsequentes maschinelles Verhalten sichtbar gemacht wird.</w:t>
      </w:r>
    </w:p>
    <w:bookmarkEnd w:id="56"/>
    <w:bookmarkStart w:id="57" w:name="entscheidung-6"/>
    <w:p>
      <w:pPr>
        <w:pStyle w:val="Heading2"/>
      </w:pPr>
      <w:r>
        <w:t xml:space="preserve">Entscheidung</w:t>
      </w:r>
    </w:p>
    <w:p>
      <w:pPr>
        <w:pStyle w:val="FirstParagraph"/>
      </w:pPr>
      <w:r>
        <w:t xml:space="preserve">KAI ist ein wiederkehrender Lernroboter.</w:t>
      </w:r>
    </w:p>
    <w:p>
      <w:pPr>
        <w:pStyle w:val="BodyText"/>
      </w:pPr>
      <w:r>
        <w:t xml:space="preserve">KAI:</w:t>
      </w:r>
    </w:p>
    <w:p>
      <w:pPr>
        <w:numPr>
          <w:ilvl w:val="0"/>
          <w:numId w:val="1010"/>
        </w:numPr>
        <w:pStyle w:val="Compact"/>
      </w:pPr>
      <w:r>
        <w:t xml:space="preserve">führt Anweisungen exakt aus</w:t>
      </w:r>
    </w:p>
    <w:p>
      <w:pPr>
        <w:numPr>
          <w:ilvl w:val="0"/>
          <w:numId w:val="1010"/>
        </w:numPr>
        <w:pStyle w:val="Compact"/>
      </w:pPr>
      <w:r>
        <w:t xml:space="preserve">ergänzt keine fehlenden Informationen</w:t>
      </w:r>
    </w:p>
    <w:p>
      <w:pPr>
        <w:numPr>
          <w:ilvl w:val="0"/>
          <w:numId w:val="1010"/>
        </w:numPr>
        <w:pStyle w:val="Compact"/>
      </w:pPr>
      <w:r>
        <w:t xml:space="preserve">rät nicht</w:t>
      </w:r>
    </w:p>
    <w:p>
      <w:pPr>
        <w:numPr>
          <w:ilvl w:val="0"/>
          <w:numId w:val="1010"/>
        </w:numPr>
        <w:pStyle w:val="Compact"/>
      </w:pPr>
      <w:r>
        <w:t xml:space="preserve">fragt bei Mehrdeutigkeiten nach</w:t>
      </w:r>
    </w:p>
    <w:p>
      <w:pPr>
        <w:numPr>
          <w:ilvl w:val="0"/>
          <w:numId w:val="1010"/>
        </w:numPr>
        <w:pStyle w:val="Compact"/>
      </w:pPr>
      <w:r>
        <w:t xml:space="preserve">macht Denkfehler in Anweisungen sichtbar</w:t>
      </w:r>
    </w:p>
    <w:p>
      <w:pPr>
        <w:pStyle w:val="FirstParagraph"/>
      </w:pPr>
      <w:r>
        <w:t xml:space="preserve">KAI wird nur eingesetzt, wenn ein didaktischer Mehrwert besteht.</w:t>
      </w:r>
    </w:p>
    <w:bookmarkEnd w:id="57"/>
    <w:bookmarkStart w:id="58" w:name="konsequenzen-6"/>
    <w:p>
      <w:pPr>
        <w:pStyle w:val="Heading2"/>
      </w:pPr>
      <w:r>
        <w:t xml:space="preserve">Konsequenzen</w:t>
      </w:r>
    </w:p>
    <w:p>
      <w:pPr>
        <w:pStyle w:val="FirstParagraph"/>
      </w:pPr>
      <w:r>
        <w:t xml:space="preserve">KAI eignet sich besonders für:</w:t>
      </w:r>
    </w:p>
    <w:p>
      <w:pPr>
        <w:numPr>
          <w:ilvl w:val="0"/>
          <w:numId w:val="1011"/>
        </w:numPr>
        <w:pStyle w:val="Compact"/>
      </w:pPr>
      <w:r>
        <w:t xml:space="preserve">Rollenspiele</w:t>
      </w:r>
    </w:p>
    <w:p>
      <w:pPr>
        <w:numPr>
          <w:ilvl w:val="0"/>
          <w:numId w:val="1011"/>
        </w:numPr>
        <w:pStyle w:val="Compact"/>
      </w:pPr>
      <w:r>
        <w:t xml:space="preserve">Fehlersuche</w:t>
      </w:r>
    </w:p>
    <w:p>
      <w:pPr>
        <w:numPr>
          <w:ilvl w:val="0"/>
          <w:numId w:val="1011"/>
        </w:numPr>
        <w:pStyle w:val="Compact"/>
      </w:pPr>
      <w:r>
        <w:t xml:space="preserve">Algorithmen</w:t>
      </w:r>
    </w:p>
    <w:p>
      <w:pPr>
        <w:numPr>
          <w:ilvl w:val="0"/>
          <w:numId w:val="1011"/>
        </w:numPr>
        <w:pStyle w:val="Compact"/>
      </w:pPr>
      <w:r>
        <w:t xml:space="preserve">Verzweigungen</w:t>
      </w:r>
    </w:p>
    <w:p>
      <w:pPr>
        <w:numPr>
          <w:ilvl w:val="0"/>
          <w:numId w:val="1011"/>
        </w:numPr>
        <w:pStyle w:val="Compact"/>
      </w:pPr>
      <w:r>
        <w:t xml:space="preserve">Wiederholungen</w:t>
      </w:r>
    </w:p>
    <w:p>
      <w:pPr>
        <w:numPr>
          <w:ilvl w:val="0"/>
          <w:numId w:val="1011"/>
        </w:numPr>
        <w:pStyle w:val="Compact"/>
      </w:pPr>
      <w:r>
        <w:t xml:space="preserve">Variablen</w:t>
      </w:r>
    </w:p>
    <w:p>
      <w:pPr>
        <w:numPr>
          <w:ilvl w:val="0"/>
          <w:numId w:val="1011"/>
        </w:numPr>
        <w:pStyle w:val="Compact"/>
      </w:pPr>
      <w:r>
        <w:t xml:space="preserve">Debugging</w:t>
      </w:r>
    </w:p>
    <w:p>
      <w:pPr>
        <w:pStyle w:val="FirstParagraph"/>
      </w:pPr>
      <w:r>
        <w:t xml:space="preserve">KAI ist keine reine Comicfigur und soll nicht kindlich wirken.</w:t>
      </w:r>
    </w:p>
    <w:bookmarkEnd w:id="58"/>
    <w:bookmarkEnd w:id="59"/>
    <w:bookmarkStart w:id="64" w:name="adr-0008-evas-als-bekanntes-grundmodell"/>
    <w:p>
      <w:pPr>
        <w:pStyle w:val="Heading1"/>
      </w:pPr>
      <w:r>
        <w:t xml:space="preserve">ADR-0008 – EVAS als bekanntes Grundmodell</w:t>
      </w:r>
    </w:p>
    <w:bookmarkStart w:id="60" w:name="status-7"/>
    <w:p>
      <w:pPr>
        <w:pStyle w:val="Heading2"/>
      </w:pPr>
      <w:r>
        <w:t xml:space="preserve">Status</w:t>
      </w:r>
    </w:p>
    <w:p>
      <w:pPr>
        <w:pStyle w:val="FirstParagraph"/>
      </w:pPr>
      <w:r>
        <w:t xml:space="preserve">Akzeptiert</w:t>
      </w:r>
    </w:p>
    <w:bookmarkEnd w:id="60"/>
    <w:bookmarkStart w:id="61" w:name="kontext-7"/>
    <w:p>
      <w:pPr>
        <w:pStyle w:val="Heading2"/>
      </w:pPr>
      <w:r>
        <w:t xml:space="preserve">Kontext</w:t>
      </w:r>
    </w:p>
    <w:p>
      <w:pPr>
        <w:pStyle w:val="FirstParagraph"/>
      </w:pPr>
      <w:r>
        <w:t xml:space="preserve">Die Lernenden kennen das EVAS-Prinzip bereits aus einer vorherigen Klassenstufe.</w:t>
      </w:r>
    </w:p>
    <w:p>
      <w:pPr>
        <w:pStyle w:val="BodyText"/>
      </w:pPr>
      <w:r>
        <w:t xml:space="preserve">EVAS steht für:</w:t>
      </w:r>
    </w:p>
    <w:p>
      <w:pPr>
        <w:numPr>
          <w:ilvl w:val="0"/>
          <w:numId w:val="1012"/>
        </w:numPr>
        <w:pStyle w:val="Compact"/>
      </w:pPr>
      <w:r>
        <w:t xml:space="preserve">Eingabe</w:t>
      </w:r>
    </w:p>
    <w:p>
      <w:pPr>
        <w:numPr>
          <w:ilvl w:val="0"/>
          <w:numId w:val="1012"/>
        </w:numPr>
        <w:pStyle w:val="Compact"/>
      </w:pPr>
      <w:r>
        <w:t xml:space="preserve">Verarbeitung</w:t>
      </w:r>
    </w:p>
    <w:p>
      <w:pPr>
        <w:numPr>
          <w:ilvl w:val="0"/>
          <w:numId w:val="1012"/>
        </w:numPr>
        <w:pStyle w:val="Compact"/>
      </w:pPr>
      <w:r>
        <w:t xml:space="preserve">Ausgabe</w:t>
      </w:r>
    </w:p>
    <w:p>
      <w:pPr>
        <w:numPr>
          <w:ilvl w:val="0"/>
          <w:numId w:val="1012"/>
        </w:numPr>
        <w:pStyle w:val="Compact"/>
      </w:pPr>
      <w:r>
        <w:t xml:space="preserve">Speicherung</w:t>
      </w:r>
    </w:p>
    <w:bookmarkEnd w:id="61"/>
    <w:bookmarkStart w:id="62" w:name="entscheidung-7"/>
    <w:p>
      <w:pPr>
        <w:pStyle w:val="Heading2"/>
      </w:pPr>
      <w:r>
        <w:t xml:space="preserve">Entscheidung</w:t>
      </w:r>
    </w:p>
    <w:p>
      <w:pPr>
        <w:pStyle w:val="FirstParagraph"/>
      </w:pPr>
      <w:r>
        <w:t xml:space="preserve">EVAS wird als bekanntes Grundmodell vorausgesetzt und bei Bedarf aktiviert.</w:t>
      </w:r>
    </w:p>
    <w:p>
      <w:pPr>
        <w:pStyle w:val="BodyText"/>
      </w:pPr>
      <w:r>
        <w:t xml:space="preserve">Es wird in höheren Klassenstufen nicht jedes Mal vollständig neu eingeführt.</w:t>
      </w:r>
    </w:p>
    <w:p>
      <w:pPr>
        <w:pStyle w:val="BodyText"/>
      </w:pPr>
      <w:r>
        <w:t xml:space="preserve">Bei der Algorithmierung liegt der Schwerpunkt insbesondere auf der Verarbeitung und den dazugehörigen Algorithmen.</w:t>
      </w:r>
    </w:p>
    <w:bookmarkEnd w:id="62"/>
    <w:bookmarkStart w:id="63" w:name="konsequenzen-7"/>
    <w:p>
      <w:pPr>
        <w:pStyle w:val="Heading2"/>
      </w:pPr>
      <w:r>
        <w:t xml:space="preserve">Konsequenzen</w:t>
      </w:r>
    </w:p>
    <w:p>
      <w:pPr>
        <w:pStyle w:val="FirstParagraph"/>
      </w:pPr>
      <w:r>
        <w:t xml:space="preserve">Wiederholungen werden reduziert.</w:t>
      </w:r>
    </w:p>
    <w:p>
      <w:pPr>
        <w:pStyle w:val="BodyText"/>
      </w:pPr>
      <w:r>
        <w:t xml:space="preserve">Neue Inhalte werden mit vorhandenem Wissen vernetzt.</w:t>
      </w:r>
    </w:p>
    <w:p>
      <w:pPr>
        <w:pStyle w:val="BodyText"/>
      </w:pPr>
      <w:r>
        <w:t xml:space="preserve">Im Grundlagenbereich steht eine vollständige EVAS-Erklärung als Nachschlagewerk zur Verfügung.</w:t>
      </w:r>
    </w:p>
    <w:bookmarkEnd w:id="63"/>
    <w:bookmarkEnd w:id="64"/>
    <w:bookmarkStart w:id="69" w:name="adr-0009-markdown-und-modulare-dateien"/>
    <w:p>
      <w:pPr>
        <w:pStyle w:val="Heading1"/>
      </w:pPr>
      <w:r>
        <w:t xml:space="preserve">ADR-0009 – Markdown und modulare Dateien</w:t>
      </w:r>
    </w:p>
    <w:bookmarkStart w:id="65" w:name="status-8"/>
    <w:p>
      <w:pPr>
        <w:pStyle w:val="Heading2"/>
      </w:pPr>
      <w:r>
        <w:t xml:space="preserve">Status</w:t>
      </w:r>
    </w:p>
    <w:p>
      <w:pPr>
        <w:pStyle w:val="FirstParagraph"/>
      </w:pPr>
      <w:r>
        <w:t xml:space="preserve">Akzeptiert</w:t>
      </w:r>
    </w:p>
    <w:bookmarkEnd w:id="65"/>
    <w:bookmarkStart w:id="66" w:name="kontext-8"/>
    <w:p>
      <w:pPr>
        <w:pStyle w:val="Heading2"/>
      </w:pPr>
      <w:r>
        <w:t xml:space="preserve">Kontext</w:t>
      </w:r>
    </w:p>
    <w:p>
      <w:pPr>
        <w:pStyle w:val="FirstParagraph"/>
      </w:pPr>
      <w:r>
        <w:t xml:space="preserve">Das Lehrwerk soll offen, versionsfähig und leicht überarbeitbar sein.</w:t>
      </w:r>
    </w:p>
    <w:bookmarkEnd w:id="66"/>
    <w:bookmarkStart w:id="67" w:name="entscheidung-8"/>
    <w:p>
      <w:pPr>
        <w:pStyle w:val="Heading2"/>
      </w:pPr>
      <w:r>
        <w:t xml:space="preserve">Entscheidung</w:t>
      </w:r>
    </w:p>
    <w:p>
      <w:pPr>
        <w:pStyle w:val="FirstParagraph"/>
      </w:pPr>
      <w:r>
        <w:t xml:space="preserve">Textinhalte werden bevorzugt in Markdown gepflegt.</w:t>
      </w:r>
    </w:p>
    <w:p>
      <w:pPr>
        <w:pStyle w:val="BodyText"/>
      </w:pPr>
      <w:r>
        <w:t xml:space="preserve">Größere Werkteile werden in fachlich sinnvolle Einzeldateien aufgeteilt.</w:t>
      </w:r>
    </w:p>
    <w:p>
      <w:pPr>
        <w:pStyle w:val="BodyText"/>
      </w:pPr>
      <w:r>
        <w:t xml:space="preserve">Dateien sollen:</w:t>
      </w:r>
    </w:p>
    <w:p>
      <w:pPr>
        <w:numPr>
          <w:ilvl w:val="0"/>
          <w:numId w:val="1013"/>
        </w:numPr>
        <w:pStyle w:val="Compact"/>
      </w:pPr>
      <w:r>
        <w:t xml:space="preserve">unabhängig verständlich sein</w:t>
      </w:r>
    </w:p>
    <w:p>
      <w:pPr>
        <w:numPr>
          <w:ilvl w:val="0"/>
          <w:numId w:val="1013"/>
        </w:numPr>
        <w:pStyle w:val="Compact"/>
      </w:pPr>
      <w:r>
        <w:t xml:space="preserve">klar benannt sein</w:t>
      </w:r>
    </w:p>
    <w:p>
      <w:pPr>
        <w:numPr>
          <w:ilvl w:val="0"/>
          <w:numId w:val="1013"/>
        </w:numPr>
        <w:pStyle w:val="Compact"/>
      </w:pPr>
      <w:r>
        <w:t xml:space="preserve">gezielt ersetzt werden können</w:t>
      </w:r>
    </w:p>
    <w:p>
      <w:pPr>
        <w:numPr>
          <w:ilvl w:val="0"/>
          <w:numId w:val="1013"/>
        </w:numPr>
        <w:pStyle w:val="Compact"/>
      </w:pPr>
      <w:r>
        <w:t xml:space="preserve">mit Git sinnvoll diffbar sein</w:t>
      </w:r>
    </w:p>
    <w:bookmarkEnd w:id="67"/>
    <w:bookmarkStart w:id="68" w:name="konsequenzen-8"/>
    <w:p>
      <w:pPr>
        <w:pStyle w:val="Heading2"/>
      </w:pPr>
      <w:r>
        <w:t xml:space="preserve">Konsequenzen</w:t>
      </w:r>
    </w:p>
    <w:p>
      <w:pPr>
        <w:pStyle w:val="FirstParagraph"/>
      </w:pPr>
      <w:r>
        <w:t xml:space="preserve">Qualitätssicherung kann einzelne Dateien oder Abschnitte austauschen, ohne komplette Dokumente neu erzeugen zu müssen.</w:t>
      </w:r>
    </w:p>
    <w:p>
      <w:pPr>
        <w:pStyle w:val="BodyText"/>
      </w:pPr>
      <w:r>
        <w:t xml:space="preserve">Spätere Exporte nach PDF, HTML oder DOCX können automatisiert werden.</w:t>
      </w:r>
    </w:p>
    <w:bookmarkEnd w:id="68"/>
    <w:bookmarkEnd w:id="69"/>
    <w:bookmarkStart w:id="74" w:name="X144e0cbe1ca3660b08ea821310f5d8bd79f6667"/>
    <w:p>
      <w:pPr>
        <w:pStyle w:val="Heading1"/>
      </w:pPr>
      <w:r>
        <w:t xml:space="preserve">ADR-0010 – Repository als Single Source of Truth</w:t>
      </w:r>
    </w:p>
    <w:bookmarkStart w:id="70" w:name="status-9"/>
    <w:p>
      <w:pPr>
        <w:pStyle w:val="Heading2"/>
      </w:pPr>
      <w:r>
        <w:t xml:space="preserve">Status</w:t>
      </w:r>
    </w:p>
    <w:p>
      <w:pPr>
        <w:pStyle w:val="FirstParagraph"/>
      </w:pPr>
      <w:r>
        <w:t xml:space="preserve">Akzeptiert</w:t>
      </w:r>
    </w:p>
    <w:bookmarkEnd w:id="70"/>
    <w:bookmarkStart w:id="71" w:name="kontext-9"/>
    <w:p>
      <w:pPr>
        <w:pStyle w:val="Heading2"/>
      </w:pPr>
      <w:r>
        <w:t xml:space="preserve">Kontext</w:t>
      </w:r>
    </w:p>
    <w:p>
      <w:pPr>
        <w:pStyle w:val="FirstParagraph"/>
      </w:pPr>
      <w:r>
        <w:t xml:space="preserve">Während der Entwicklung entstehen viele Dateien und Versionen. Doppelarbeit und widersprüchliche Strukturen müssen vermieden werden.</w:t>
      </w:r>
    </w:p>
    <w:bookmarkEnd w:id="71"/>
    <w:bookmarkStart w:id="72" w:name="entscheidung-9"/>
    <w:p>
      <w:pPr>
        <w:pStyle w:val="Heading2"/>
      </w:pPr>
      <w:r>
        <w:t xml:space="preserve">Entscheidung</w:t>
      </w:r>
    </w:p>
    <w:p>
      <w:pPr>
        <w:pStyle w:val="FirstParagraph"/>
      </w:pPr>
      <w:r>
        <w:t xml:space="preserve">Der aktuelle Stand auf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ist die verbindliche Referenz für die weitere Entwicklung.</w:t>
      </w:r>
    </w:p>
    <w:p>
      <w:pPr>
        <w:pStyle w:val="BodyText"/>
      </w:pPr>
      <w:r>
        <w:t xml:space="preserve">Vor neuen Arbeitspaketen wird geprüft:</w:t>
      </w:r>
    </w:p>
    <w:p>
      <w:pPr>
        <w:numPr>
          <w:ilvl w:val="0"/>
          <w:numId w:val="1014"/>
        </w:numPr>
        <w:pStyle w:val="Compact"/>
      </w:pPr>
      <w:r>
        <w:t xml:space="preserve">Was existiert bereits?</w:t>
      </w:r>
    </w:p>
    <w:p>
      <w:pPr>
        <w:numPr>
          <w:ilvl w:val="0"/>
          <w:numId w:val="1014"/>
        </w:numPr>
        <w:pStyle w:val="Compact"/>
      </w:pPr>
      <w:r>
        <w:t xml:space="preserve">Was fehlt?</w:t>
      </w:r>
    </w:p>
    <w:p>
      <w:pPr>
        <w:numPr>
          <w:ilvl w:val="0"/>
          <w:numId w:val="1014"/>
        </w:numPr>
        <w:pStyle w:val="Compact"/>
      </w:pPr>
      <w:r>
        <w:t xml:space="preserve">Was ist unvollständig?</w:t>
      </w:r>
    </w:p>
    <w:p>
      <w:pPr>
        <w:numPr>
          <w:ilvl w:val="0"/>
          <w:numId w:val="1014"/>
        </w:numPr>
        <w:pStyle w:val="Compact"/>
      </w:pPr>
      <w:r>
        <w:t xml:space="preserve">Gibt es offensichtliche Inkonsistenzen?</w:t>
      </w:r>
    </w:p>
    <w:p>
      <w:pPr>
        <w:pStyle w:val="FirstParagraph"/>
      </w:pPr>
      <w:r>
        <w:t xml:space="preserve">Neue Inhalte werden nur ergänzt, wenn sie im aktuellen Repository fehlen oder bewusst überarbeitet werden sollen.</w:t>
      </w:r>
    </w:p>
    <w:bookmarkEnd w:id="72"/>
    <w:bookmarkStart w:id="73" w:name="konsequenzen-9"/>
    <w:p>
      <w:pPr>
        <w:pStyle w:val="Heading2"/>
      </w:pPr>
      <w:r>
        <w:t xml:space="preserve">Konsequenzen</w:t>
      </w:r>
    </w:p>
    <w:p>
      <w:pPr>
        <w:pStyle w:val="FirstParagraph"/>
      </w:pPr>
      <w:r>
        <w:t xml:space="preserve">Der Entwicklungsprozess bleibt nachvollziehbar.</w:t>
      </w:r>
    </w:p>
    <w:p>
      <w:pPr>
        <w:pStyle w:val="BodyText"/>
      </w:pPr>
      <w:r>
        <w:t xml:space="preserve">Nach abgeschlossenen Kapiteln wird der aktuelle Stand gepusht.</w:t>
      </w:r>
    </w:p>
    <w:p>
      <w:pPr>
        <w:pStyle w:val="BodyText"/>
      </w:pPr>
      <w:r>
        <w:t xml:space="preserve">Reviews und Qualitätskorrekturen erfolgen auf Basis der vorhandenen Markdown-Dateien.</w:t>
      </w:r>
    </w:p>
    <w:bookmarkEnd w:id="73"/>
    <w:bookmarkEnd w:id="7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-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de-DE</dc:language>
  <cp:keywords/>
  <dcterms:created xsi:type="dcterms:W3CDTF">2026-08-09T19:30:05Z</dcterms:created>
  <dcterms:modified xsi:type="dcterms:W3CDTF">2026-08-09T19:30:05Z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