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-m01-smartphone-nach-evas"/>
    <w:p>
      <w:pPr>
        <w:pStyle w:val="Heading1"/>
      </w:pPr>
      <w:r>
        <w:t xml:space="preserve">Material M01 – Smartphone nach EVAS</w:t>
      </w:r>
    </w:p>
    <w:p>
      <w:pPr>
        <w:pStyle w:val="FirstParagraph"/>
      </w:pPr>
      <w:r>
        <w:t xml:space="preserve">Ordnet für ein Smartphone konkrete Beispiele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Gerät/Funktion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 oder Wirkung?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Mehrfachzuordnungen. Achtet darauf, nicht nur Bauteile, sondern auch die verarbeiteten Informationen zu benennen.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2026-08-17T08:56:49Z</dcterms:created>
  <dcterms:modified xsi:type="dcterms:W3CDTF">2026-08-17T08:56:49Z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