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mobiles-bezahlen"/>
    <w:p>
      <w:pPr>
        <w:pStyle w:val="Heading1"/>
      </w:pPr>
      <w:r>
        <w:t xml:space="preserve">Lösungen – Mobiles Bezahlen</w:t>
      </w:r>
    </w:p>
    <w:bookmarkStart w:id="20" w:name="beteiligte"/>
    <w:p>
      <w:pPr>
        <w:pStyle w:val="Heading2"/>
      </w:pPr>
      <w:r>
        <w:t xml:space="preserve">Beteiligte</w:t>
      </w:r>
    </w:p>
    <w:p>
      <w:pPr>
        <w:pStyle w:val="FirstParagraph"/>
      </w:pPr>
      <w:r>
        <w:t xml:space="preserve">Typischer Ablauf: Kunde initiiert Zahlung am Gerät → Händlerterminal fordert Transaktion an → Zahlungsdienst verarbeitet bzw. vermittelt → Bank/Kartenanbieter autorisiert oder lehnt ab → Ergebnis wird zurückgemeldet.</w:t>
      </w:r>
    </w:p>
    <w:bookmarkEnd w:id="20"/>
    <w:bookmarkStart w:id="21" w:name="authentisierung-autorisierung"/>
    <w:p>
      <w:pPr>
        <w:pStyle w:val="Heading2"/>
      </w:pPr>
      <w:r>
        <w:t xml:space="preserve">Authentisierung /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Nachweis, dass die zugreifende Person bzw. das Gerät berechtigt ist, z. B. PIN oder biometrische Entsperrung.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Freigabe einer konkreten Zahlung nach Regeln, Limits und Prüfungen.</w:t>
      </w:r>
    </w:p>
    <w:bookmarkEnd w:id="21"/>
    <w:bookmarkStart w:id="22" w:name="risikoanalyse-mögliche-punkte"/>
    <w:p>
      <w:pPr>
        <w:pStyle w:val="Heading2"/>
      </w:pPr>
      <w:r>
        <w:t xml:space="preserve">Risikoanalyse – mögliche Punkte</w:t>
      </w:r>
    </w:p>
    <w:p>
      <w:pPr>
        <w:numPr>
          <w:ilvl w:val="0"/>
          <w:numId w:val="1001"/>
        </w:numPr>
        <w:pStyle w:val="Compact"/>
      </w:pPr>
      <w:r>
        <w:t xml:space="preserve">Gerätesperre reduziert unmittelbaren Zugriff.</w:t>
      </w:r>
    </w:p>
    <w:p>
      <w:pPr>
        <w:numPr>
          <w:ilvl w:val="0"/>
          <w:numId w:val="1001"/>
        </w:numPr>
        <w:pStyle w:val="Compact"/>
      </w:pPr>
      <w:r>
        <w:t xml:space="preserve">Zahlungsfunktion kann zusätzliche Freigaben verlangen.</w:t>
      </w:r>
    </w:p>
    <w:p>
      <w:pPr>
        <w:numPr>
          <w:ilvl w:val="0"/>
          <w:numId w:val="1001"/>
        </w:numPr>
        <w:pStyle w:val="Compact"/>
      </w:pPr>
      <w:r>
        <w:t xml:space="preserve">Zahlungsmittel bzw. Kontozugang bei Verlust sperren lassen.</w:t>
      </w:r>
    </w:p>
    <w:p>
      <w:pPr>
        <w:numPr>
          <w:ilvl w:val="0"/>
          <w:numId w:val="1001"/>
        </w:numPr>
        <w:pStyle w:val="Compact"/>
      </w:pPr>
      <w:r>
        <w:t xml:space="preserve">Konto- und Transaktionsübersicht kontrollieren.</w:t>
      </w:r>
    </w:p>
    <w:p>
      <w:pPr>
        <w:numPr>
          <w:ilvl w:val="0"/>
          <w:numId w:val="1001"/>
        </w:numPr>
        <w:pStyle w:val="Compact"/>
      </w:pPr>
      <w:r>
        <w:t xml:space="preserve">Zugangsdaten ändern, wenn ein Kompromittierungsverdacht besteht.</w:t>
      </w:r>
    </w:p>
    <w:bookmarkEnd w:id="22"/>
    <w:bookmarkStart w:id="23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Eine tragfähige Antwort vermeidet ein pauschales „sicher/unsicher“. Sie nennt Bedingungen wie Geräteschutz, Authentisierung, Sperrmöglichkeiten, Verhalten und konkrete Nutzungssituation und vergleicht diese mit den Risiken von Bargeld.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2026-08-19T18:03:50Z</dcterms:created>
  <dcterms:modified xsi:type="dcterms:W3CDTF">2026-08-19T18:03:50Z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