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-m01-smartphone-nach-evas"/>
    <w:p>
      <w:pPr>
        <w:pStyle w:val="Heading1"/>
      </w:pPr>
      <w:r>
        <w:t xml:space="preserve">Material M01 – Smartphone nach EVAS</w:t>
      </w:r>
    </w:p>
    <w:p>
      <w:pPr>
        <w:pStyle w:val="FirstParagraph"/>
      </w:pPr>
      <w:r>
        <w:t xml:space="preserve">Ordnet für ein Smartphone konkrete Beispiele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Gerät/Funktion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 oder Wirkung?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Mehrfachzuordnungen. Achtet darauf, nicht nur Bauteile, sondern auch die verarbeiteten Informationen zu benennen.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2026-08-19T17:59:48Z</dcterms:created>
  <dcterms:modified xsi:type="dcterms:W3CDTF">2026-08-19T17:59:48Z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