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Netzwerke in der Informatik</w:t>
      </w:r>
    </w:p>
    <w:p>
      <w:pPr>
        <w:pStyle w:val="Subtitle"/>
      </w:pPr>
      <w:r>
        <w:t xml:space="preserve">Informatik · Klasse 8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lehrerband-netzwerke-in-der-informatik"/>
    <w:p>
      <w:pPr>
        <w:pStyle w:val="Heading1"/>
      </w:pPr>
      <w:r>
        <w:t xml:space="preserve">Lehrerband – Netzwerke in der Informatik</w:t>
      </w:r>
    </w:p>
    <w:bookmarkStart w:id="20" w:name="überblick"/>
    <w:p>
      <w:pPr>
        <w:pStyle w:val="Heading2"/>
      </w:pPr>
      <w:r>
        <w:t xml:space="preserve">Überblick</w:t>
      </w:r>
    </w:p>
    <w:p>
      <w:pPr>
        <w:pStyle w:val="FirstParagraph"/>
      </w:pPr>
      <w:r>
        <w:t xml:space="preserve">Der Lernbereich ist für 10 Unterrichtsstunden angelegt. Ziel ist ein tragfähiges Grundverständnis von Netzwerkstruktur, Datenübertragung, Diensten und einfacher Kryptografie. Technische Tiefe wird bewusst begrenzt; entscheidend sind Modellbildung, Fachbegriffe, begründete Zuordnung und Fehlersuche.</w:t>
      </w:r>
    </w:p>
    <w:bookmarkEnd w:id="20"/>
    <w:bookmarkStart w:id="21" w:name="stunde-1-netzwerke-im-alltag"/>
    <w:p>
      <w:pPr>
        <w:pStyle w:val="Heading2"/>
      </w:pPr>
      <w:r>
        <w:t xml:space="preserve">Stunde 1 – Netzwerke im Alltag</w:t>
      </w:r>
    </w:p>
    <w:p>
      <w:pPr>
        <w:pStyle w:val="FirstParagraph"/>
      </w:pPr>
      <w:r>
        <w:rPr>
          <w:bCs/>
          <w:b/>
        </w:rPr>
        <w:t xml:space="preserve">Einstieg:</w:t>
      </w:r>
      <w:r>
        <w:t xml:space="preserve"> </w:t>
      </w:r>
      <w:r>
        <w:t xml:space="preserve">Alltagsgeräte sammeln: Smartphone, Schul-PC, Fernseher, Drucker, Spielekonsole.</w:t>
      </w:r>
    </w:p>
    <w:p>
      <w:pPr>
        <w:pStyle w:val="Body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Warum sind diese Geräte häufig vernetzt?</w:t>
      </w:r>
    </w:p>
    <w:p>
      <w:pPr>
        <w:pStyle w:val="BodyText"/>
      </w:pPr>
      <w:r>
        <w:rPr>
          <w:bCs/>
          <w:b/>
        </w:rPr>
        <w:t xml:space="preserve">Erwartete Ergebnisse:</w:t>
      </w:r>
      <w:r>
        <w:t xml:space="preserve"> </w:t>
      </w:r>
      <w:r>
        <w:t xml:space="preserve">Datenaustausch, gemeinsame Ressourcen, Internetzugang, Kommunikation, Dienste.</w:t>
      </w:r>
    </w:p>
    <w:p>
      <w:pPr>
        <w:pStyle w:val="BodyText"/>
      </w:pPr>
      <w:r>
        <w:rPr>
          <w:bCs/>
          <w:b/>
        </w:rPr>
        <w:t xml:space="preserve">Fehlvorstellung:</w:t>
      </w:r>
      <w:r>
        <w:t xml:space="preserve"> </w:t>
      </w:r>
      <w:r>
        <w:t xml:space="preserve">„Internet“ und „WLAN“ seien dasselbe. WLAN ist eine lokale drahtlose Verbindung; Internet bezeichnet ein weltweites Netz von Netzen.</w:t>
      </w:r>
    </w:p>
    <w:bookmarkEnd w:id="21"/>
    <w:bookmarkStart w:id="22" w:name="Xab8e626df5c0c325ca46280264a686056466f39"/>
    <w:p>
      <w:pPr>
        <w:pStyle w:val="Heading2"/>
      </w:pPr>
      <w:r>
        <w:t xml:space="preserve">Stunde 2 – Netzwerkarchitekturen und Datenwege</w:t>
      </w:r>
    </w:p>
    <w:p>
      <w:pPr>
        <w:pStyle w:val="FirstParagraph"/>
      </w:pPr>
      <w:r>
        <w:t xml:space="preserve">LAN, WLAN, Intranet und Internet an konkreten Beispielen unterscheiden. Einen Datenweg vom Endgerät über das lokale Netz zum Internet zeichnen lassen.</w:t>
      </w:r>
    </w:p>
    <w:p>
      <w:pPr>
        <w:pStyle w:val="BodyText"/>
      </w:pPr>
      <w:r>
        <w:rPr>
          <w:bCs/>
          <w:b/>
        </w:rPr>
        <w:t xml:space="preserve">Differenzierung:</w:t>
      </w:r>
      <w:r>
        <w:t xml:space="preserve"> </w:t>
      </w:r>
      <w:r>
        <w:t xml:space="preserve">Stärkere Lernende markieren Stellen, an denen Adressierung, Routing oder Namensauflösung eine Rolle spielen.</w:t>
      </w:r>
    </w:p>
    <w:bookmarkEnd w:id="22"/>
    <w:bookmarkStart w:id="23" w:name="stunde-3-komponenten"/>
    <w:p>
      <w:pPr>
        <w:pStyle w:val="Heading2"/>
      </w:pPr>
      <w:r>
        <w:t xml:space="preserve">Stunde 3 – Komponenten</w:t>
      </w:r>
    </w:p>
    <w:p>
      <w:pPr>
        <w:pStyle w:val="FirstParagraph"/>
      </w:pPr>
      <w:r>
        <w:t xml:space="preserve">Client, Server, Router, Switch und Accesspoint funktional einführen. Keine herstellerspezifischen Details.</w:t>
      </w:r>
    </w:p>
    <w:p>
      <w:pPr>
        <w:pStyle w:val="BodyText"/>
      </w:pPr>
      <w:r>
        <w:rPr>
          <w:bCs/>
          <w:b/>
        </w:rPr>
        <w:t xml:space="preserve">Merksätze:</w:t>
      </w:r>
    </w:p>
    <w:p>
      <w:pPr>
        <w:numPr>
          <w:ilvl w:val="0"/>
          <w:numId w:val="1001"/>
        </w:numPr>
        <w:pStyle w:val="Compact"/>
      </w:pPr>
      <w:r>
        <w:t xml:space="preserve">Client nutzt Dienste.</w:t>
      </w:r>
    </w:p>
    <w:p>
      <w:pPr>
        <w:numPr>
          <w:ilvl w:val="0"/>
          <w:numId w:val="1001"/>
        </w:numPr>
        <w:pStyle w:val="Compact"/>
      </w:pPr>
      <w:r>
        <w:t xml:space="preserve">Server stellt Dienste oder Daten bereit.</w:t>
      </w:r>
    </w:p>
    <w:p>
      <w:pPr>
        <w:numPr>
          <w:ilvl w:val="0"/>
          <w:numId w:val="1001"/>
        </w:numPr>
        <w:pStyle w:val="Compact"/>
      </w:pPr>
      <w:r>
        <w:t xml:space="preserve">Switch verbindet Geräte innerhalb eines lokalen Netzes.</w:t>
      </w:r>
    </w:p>
    <w:p>
      <w:pPr>
        <w:numPr>
          <w:ilvl w:val="0"/>
          <w:numId w:val="1001"/>
        </w:numPr>
        <w:pStyle w:val="Compact"/>
      </w:pPr>
      <w:r>
        <w:t xml:space="preserve">Router verbindet unterschiedliche Netze.</w:t>
      </w:r>
    </w:p>
    <w:p>
      <w:pPr>
        <w:numPr>
          <w:ilvl w:val="0"/>
          <w:numId w:val="1001"/>
        </w:numPr>
        <w:pStyle w:val="Compact"/>
      </w:pPr>
      <w:r>
        <w:t xml:space="preserve">Accesspoint ermöglicht drahtlosen Zugang zu einem Netz.</w:t>
      </w:r>
    </w:p>
    <w:p>
      <w:pPr>
        <w:pStyle w:val="FirstParagraph"/>
      </w:pPr>
      <w:r>
        <w:rPr>
          <w:bCs/>
          <w:b/>
        </w:rPr>
        <w:t xml:space="preserve">Praxis:</w:t>
      </w:r>
      <w:r>
        <w:t xml:space="preserve"> </w:t>
      </w:r>
      <w:r>
        <w:t xml:space="preserve">Schulnetz als vereinfachtes Blockbild modellieren.</w:t>
      </w:r>
    </w:p>
    <w:bookmarkEnd w:id="23"/>
    <w:bookmarkStart w:id="24" w:name="stunde-4-ip-adressen-und-dns"/>
    <w:p>
      <w:pPr>
        <w:pStyle w:val="Heading2"/>
      </w:pPr>
      <w:r>
        <w:t xml:space="preserve">Stunde 4 – IP-Adressen und DNS</w:t>
      </w:r>
    </w:p>
    <w:p>
      <w:pPr>
        <w:pStyle w:val="FirstParagraph"/>
      </w:pPr>
      <w:r>
        <w:t xml:space="preserve">IP-Adresse als Adresse eines Geräts bzw. Anschlusses im Netz behandeln. DNS als Namensauflösung erklären: menschenlesbare Namen werden zu technisch nutzbaren Adressen zugeordnet.</w:t>
      </w:r>
    </w:p>
    <w:p>
      <w:pPr>
        <w:pStyle w:val="BodyText"/>
      </w:pPr>
      <w:r>
        <w:rPr>
          <w:bCs/>
          <w:b/>
        </w:rPr>
        <w:t xml:space="preserve">Fehlvorstellung vermeiden:</w:t>
      </w:r>
      <w:r>
        <w:t xml:space="preserve"> </w:t>
      </w:r>
      <w:r>
        <w:t xml:space="preserve">DNS ist nicht „das Internet“ und eine IP-Adresse ist nicht dauerhaft mit einer Person identisch.</w:t>
      </w:r>
    </w:p>
    <w:bookmarkEnd w:id="24"/>
    <w:bookmarkStart w:id="25" w:name="stunde-5-übertragungsmedien"/>
    <w:p>
      <w:pPr>
        <w:pStyle w:val="Heading2"/>
      </w:pPr>
      <w:r>
        <w:t xml:space="preserve">Stunde 5 – Übertragungsmedien</w:t>
      </w:r>
    </w:p>
    <w:p>
      <w:pPr>
        <w:pStyle w:val="FirstParagraph"/>
      </w:pPr>
      <w:r>
        <w:t xml:space="preserve">Kupfer, Lichtwellenleiter und Funk vergleichen. Kriterien: Reichweite, Störanfälligkeit, Geschwindigkeit, Mobilität, Aufwand.</w:t>
      </w:r>
    </w:p>
    <w:p>
      <w:pPr>
        <w:pStyle w:val="BodyText"/>
      </w:pPr>
      <w:r>
        <w:rPr>
          <w:bCs/>
          <w:b/>
        </w:rPr>
        <w:t xml:space="preserve">Fächerverbindung:</w:t>
      </w:r>
      <w:r>
        <w:t xml:space="preserve"> </w:t>
      </w:r>
      <w:r>
        <w:t xml:space="preserve">Datenströme und Einheiten können mit Physik verknüpft werden.</w:t>
      </w:r>
    </w:p>
    <w:bookmarkEnd w:id="25"/>
    <w:bookmarkStart w:id="26" w:name="stunde-6-protokolle-und-dienste"/>
    <w:p>
      <w:pPr>
        <w:pStyle w:val="Heading2"/>
      </w:pPr>
      <w:r>
        <w:t xml:space="preserve">Stunde 6 – Protokolle und Dienste</w:t>
      </w:r>
    </w:p>
    <w:p>
      <w:pPr>
        <w:pStyle w:val="FirstParagraph"/>
      </w:pPr>
      <w:r>
        <w:t xml:space="preserve">Protokoll = vereinbarte Regeln für Kommunikation. Dienst = nutzbare Funktion.</w:t>
      </w:r>
    </w:p>
    <w:p>
      <w:pPr>
        <w:pStyle w:val="BodyText"/>
      </w:pPr>
      <w:r>
        <w:t xml:space="preserve">HTTP dem Abruf von Webinhalten zuordnen, FTP als Dateiübertragungsprotokoll einordnen, Mail-Protokolle exemplarisch benennen. Keine Protokolldetails auswendig lernen lassen.</w:t>
      </w:r>
    </w:p>
    <w:bookmarkEnd w:id="26"/>
    <w:bookmarkStart w:id="27" w:name="Xf7d32d742a054e92469f2c8c9192f4dcef64f8e"/>
    <w:p>
      <w:pPr>
        <w:pStyle w:val="Heading2"/>
      </w:pPr>
      <w:r>
        <w:t xml:space="preserve">Stunde 7 – Netzwerk untersuchen und Fehler eingrenzen</w:t>
      </w:r>
    </w:p>
    <w:p>
      <w:pPr>
        <w:pStyle w:val="FirstParagraph"/>
      </w:pPr>
      <w:r>
        <w:t xml:space="preserve">Fehlersuche systematisch modellieren:</w:t>
      </w:r>
    </w:p>
    <w:p>
      <w:pPr>
        <w:numPr>
          <w:ilvl w:val="0"/>
          <w:numId w:val="1002"/>
        </w:numPr>
        <w:pStyle w:val="Compact"/>
      </w:pPr>
      <w:r>
        <w:t xml:space="preserve">Symptom genau beschreiben.</w:t>
      </w:r>
    </w:p>
    <w:p>
      <w:pPr>
        <w:numPr>
          <w:ilvl w:val="0"/>
          <w:numId w:val="1002"/>
        </w:numPr>
        <w:pStyle w:val="Compact"/>
      </w:pPr>
      <w:r>
        <w:t xml:space="preserve">lokale Verbindung prüfen.</w:t>
      </w:r>
    </w:p>
    <w:p>
      <w:pPr>
        <w:numPr>
          <w:ilvl w:val="0"/>
          <w:numId w:val="1002"/>
        </w:numPr>
        <w:pStyle w:val="Compact"/>
      </w:pPr>
      <w:r>
        <w:t xml:space="preserve">Netzwerkzugang prüfen.</w:t>
      </w:r>
    </w:p>
    <w:p>
      <w:pPr>
        <w:numPr>
          <w:ilvl w:val="0"/>
          <w:numId w:val="1002"/>
        </w:numPr>
        <w:pStyle w:val="Compact"/>
      </w:pPr>
      <w:r>
        <w:t xml:space="preserve">Adressierung/Namensauflösung prüfen.</w:t>
      </w:r>
    </w:p>
    <w:p>
      <w:pPr>
        <w:numPr>
          <w:ilvl w:val="0"/>
          <w:numId w:val="1002"/>
        </w:numPr>
        <w:pStyle w:val="Compact"/>
      </w:pPr>
      <w:r>
        <w:t xml:space="preserve">Dienst prüfen.</w:t>
      </w:r>
    </w:p>
    <w:p>
      <w:pPr>
        <w:numPr>
          <w:ilvl w:val="0"/>
          <w:numId w:val="1002"/>
        </w:numPr>
        <w:pStyle w:val="Compact"/>
      </w:pPr>
      <w:r>
        <w:t xml:space="preserve">nur eine Änderung durchführen und erneut testen.</w:t>
      </w:r>
    </w:p>
    <w:p>
      <w:pPr>
        <w:pStyle w:val="FirstParagraph"/>
      </w:pPr>
      <w:r>
        <w:rPr>
          <w:bCs/>
          <w:b/>
        </w:rPr>
        <w:t xml:space="preserve">Sicherheitsregel:</w:t>
      </w:r>
      <w:r>
        <w:t xml:space="preserve"> </w:t>
      </w:r>
      <w:r>
        <w:t xml:space="preserve">Keine Schutzmechanismen umgehen und keine fremden Zugangsdaten verwenden.</w:t>
      </w:r>
    </w:p>
    <w:bookmarkEnd w:id="27"/>
    <w:bookmarkStart w:id="28" w:name="stunde-8-historische-kryptografie"/>
    <w:p>
      <w:pPr>
        <w:pStyle w:val="Heading2"/>
      </w:pPr>
      <w:r>
        <w:t xml:space="preserve">Stunde 8 – Historische Kryptografie</w:t>
      </w:r>
    </w:p>
    <w:p>
      <w:pPr>
        <w:pStyle w:val="FirstParagraph"/>
      </w:pPr>
      <w:r>
        <w:t xml:space="preserve">Skytale, Freimaurer-/Substitutionsverfahren oder Caesar exemplarisch einsetzen. Begriffe Klartext, Geheimtext und Schlüssel sichern.</w:t>
      </w:r>
    </w:p>
    <w:p>
      <w:pPr>
        <w:pStyle w:val="BodyText"/>
      </w:pPr>
      <w:r>
        <w:rPr>
          <w:bCs/>
          <w:b/>
        </w:rPr>
        <w:t xml:space="preserve">Didaktischer Fokus:</w:t>
      </w:r>
      <w:r>
        <w:t xml:space="preserve"> </w:t>
      </w:r>
      <w:r>
        <w:t xml:space="preserve">Verschlüsselung als regelgeleitete Transformation mit Schlüssel verstehen, nicht historische Verfahren als heute sicher darstellen.</w:t>
      </w:r>
    </w:p>
    <w:bookmarkEnd w:id="28"/>
    <w:bookmarkStart w:id="29" w:name="stunde-9-symmetrische-verschlüsselung"/>
    <w:p>
      <w:pPr>
        <w:pStyle w:val="Heading2"/>
      </w:pPr>
      <w:r>
        <w:t xml:space="preserve">Stunde 9 – Symmetrische Verschlüsselung</w:t>
      </w:r>
    </w:p>
    <w:p>
      <w:pPr>
        <w:pStyle w:val="FirstParagraph"/>
      </w:pPr>
      <w:r>
        <w:t xml:space="preserve">Grundprinzip: Sender und Empfänger nutzen denselben geheimen Schlüssel. Caesar dient nur als anschauliches Modell.</w:t>
      </w:r>
    </w:p>
    <w:p>
      <w:pPr>
        <w:pStyle w:val="BodyText"/>
      </w:pPr>
      <w:r>
        <w:rPr>
          <w:bCs/>
          <w:b/>
        </w:rPr>
        <w:t xml:space="preserve">Diskussion:</w:t>
      </w:r>
      <w:r>
        <w:t xml:space="preserve"> </w:t>
      </w:r>
      <w:r>
        <w:t xml:space="preserve">Wie gelangt der gemeinsame Schlüssel sicher zu beiden Seiten? Daraus ergibt sich die Grenze einfacher symmetrischer Verfahren im offenen Netz.</w:t>
      </w:r>
    </w:p>
    <w:bookmarkEnd w:id="29"/>
    <w:bookmarkStart w:id="30" w:name="stunde-10-gegenwart-und-kompetenzcheck"/>
    <w:p>
      <w:pPr>
        <w:pStyle w:val="Heading2"/>
      </w:pPr>
      <w:r>
        <w:t xml:space="preserve">Stunde 10 – Gegenwart und Kompetenzcheck</w:t>
      </w:r>
    </w:p>
    <w:p>
      <w:pPr>
        <w:pStyle w:val="FirstParagraph"/>
      </w:pPr>
      <w:r>
        <w:t xml:space="preserve">Passwortspeicherung und Einwegfunktionen grundlegend einordnen. Wichtig: Passwörter werden in seriösen Systemen nicht einfach „mit Caesar verschlüsselt“ gespeichert.</w:t>
      </w:r>
    </w:p>
    <w:p>
      <w:pPr>
        <w:pStyle w:val="BodyText"/>
      </w:pPr>
      <w:r>
        <w:rPr>
          <w:bCs/>
          <w:b/>
        </w:rPr>
        <w:t xml:space="preserve">Abschlussfragen:</w:t>
      </w:r>
    </w:p>
    <w:p>
      <w:pPr>
        <w:numPr>
          <w:ilvl w:val="0"/>
          <w:numId w:val="1003"/>
        </w:numPr>
        <w:pStyle w:val="Compact"/>
      </w:pPr>
      <w:r>
        <w:t xml:space="preserve">Wie gelangt eine Anfrage vom Client zu einem Dienst?</w:t>
      </w:r>
    </w:p>
    <w:p>
      <w:pPr>
        <w:numPr>
          <w:ilvl w:val="0"/>
          <w:numId w:val="1003"/>
        </w:numPr>
        <w:pStyle w:val="Compact"/>
      </w:pPr>
      <w:r>
        <w:t xml:space="preserve">Welche Aufgabe hat DNS?</w:t>
      </w:r>
    </w:p>
    <w:p>
      <w:pPr>
        <w:numPr>
          <w:ilvl w:val="0"/>
          <w:numId w:val="1003"/>
        </w:numPr>
        <w:pStyle w:val="Compact"/>
      </w:pPr>
      <w:r>
        <w:t xml:space="preserve">Warum braucht Kommunikation Protokolle?</w:t>
      </w:r>
    </w:p>
    <w:p>
      <w:pPr>
        <w:numPr>
          <w:ilvl w:val="0"/>
          <w:numId w:val="1003"/>
        </w:numPr>
        <w:pStyle w:val="Compact"/>
      </w:pPr>
      <w:r>
        <w:t xml:space="preserve">Worin unterscheiden sich Klartext, Geheimtext und Schlüssel?</w:t>
      </w:r>
    </w:p>
    <w:p>
      <w:pPr>
        <w:numPr>
          <w:ilvl w:val="0"/>
          <w:numId w:val="1003"/>
        </w:numPr>
        <w:pStyle w:val="Compact"/>
      </w:pPr>
      <w:r>
        <w:t xml:space="preserve">Warum sind historische Chiffren heute nicht ausreichend sicher?</w:t>
      </w:r>
    </w:p>
    <w:bookmarkEnd w:id="30"/>
    <w:bookmarkStart w:id="31" w:name="lehrplanbezug"/>
    <w:p>
      <w:pPr>
        <w:pStyle w:val="Heading2"/>
      </w:pPr>
      <w:r>
        <w:t xml:space="preserve">Lehrplanbezug</w:t>
      </w:r>
    </w:p>
    <w:p>
      <w:pPr>
        <w:pStyle w:val="FirstParagraph"/>
      </w:pPr>
      <w:r>
        <w:t xml:space="preserve">Verbindliche Grundlage: Lehrplan Oberschule Informatik 2022, Klassenstufe 8, Lernbereich 2 „Netzwerke in der Informatik“, 10 Ustd.</w:t>
      </w:r>
    </w:p>
    <w:p>
      <w:pPr>
        <w:pStyle w:val="BodyText"/>
      </w:pPr>
      <w:r>
        <w:t xml:space="preserve">https://www.schulportal.sachsen.de/lplandb/index.php?refBezeichnung=OS%2C+Kl.+8%2C+LB+2&amp;refLehrplanId=514&amp;refLehrplanItemId=118555</w:t>
      </w:r>
    </w:p>
    <w:bookmarkEnd w:id="31"/>
    <w:bookmarkEnd w:id="3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v0.4.0-527-gca6ed1b-dirty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Netzwerke in der Informatik</dc:title>
  <dc:creator/>
  <dc:language>de-DE</dc:language>
  <cp:keywords/>
  <dcterms:created xsi:type="dcterms:W3CDTF">2026-08-19T18:00:57Z</dcterms:created>
  <dcterms:modified xsi:type="dcterms:W3CDTF">2026-08-19T18:00:57Z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Lehrerband</vt:lpwstr>
  </property>
  <property fmtid="{D5CDD505-2E9C-101B-9397-08002B2CF9AE}" pid="3" name="toc-title">
    <vt:lpwstr>Inhaltsverzeichnis</vt:lpwstr>
  </property>
</Properties>
</file>