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7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ösungen-computergrafik"/>
    <w:p>
      <w:pPr>
        <w:pStyle w:val="Heading1"/>
      </w:pPr>
      <w:r>
        <w:t xml:space="preserve">Lösungen – Computergrafik</w:t>
      </w:r>
    </w:p>
    <w:bookmarkStart w:id="20" w:name="pixelgrafik"/>
    <w:p>
      <w:pPr>
        <w:pStyle w:val="Heading2"/>
      </w:pPr>
      <w:r>
        <w:t xml:space="preserve">Pixelgrafik</w:t>
      </w:r>
    </w:p>
    <w:p>
      <w:pPr>
        <w:pStyle w:val="FirstParagraph"/>
      </w:pPr>
      <w:r>
        <w:t xml:space="preserve">800 × 600 = 480 000 Pixel. Werden Breite und Höhe jeweils verdoppelt, vervierfacht sich die Pixelzahl: 1600 × 1200 = 1 920 000 Pixel.</w:t>
      </w:r>
    </w:p>
    <w:bookmarkEnd w:id="20"/>
    <w:bookmarkStart w:id="21" w:name="vektorgrafik"/>
    <w:p>
      <w:pPr>
        <w:pStyle w:val="Heading2"/>
      </w:pPr>
      <w:r>
        <w:t xml:space="preserve">Vektorgrafik</w:t>
      </w:r>
    </w:p>
    <w:p>
      <w:pPr>
        <w:pStyle w:val="FirstParagraph"/>
      </w:pPr>
      <w:r>
        <w:t xml:space="preserve">Mögliche Attribute:</w:t>
      </w:r>
      <w:r>
        <w:t xml:space="preserve"> </w:t>
      </w:r>
      <w:r>
        <w:t xml:space="preserve">- Kreis: Mittelpunkt, Radius, Füllfarbe</w:t>
      </w:r>
      <w:r>
        <w:t xml:space="preserve"> </w:t>
      </w:r>
      <w:r>
        <w:t xml:space="preserve">- Linie: Startpunkt, Endpunkt, Linienbreite</w:t>
      </w:r>
      <w:r>
        <w:t xml:space="preserve"> </w:t>
      </w:r>
      <w:r>
        <w:t xml:space="preserve">- Rechteck: Position, Breite, Höhe, Füllfarbe</w:t>
      </w:r>
    </w:p>
    <w:bookmarkEnd w:id="21"/>
    <w:bookmarkStart w:id="22" w:name="vergleich"/>
    <w:p>
      <w:pPr>
        <w:pStyle w:val="Heading2"/>
      </w:pPr>
      <w:r>
        <w:t xml:space="preserve">Vergleich</w:t>
      </w:r>
    </w:p>
    <w:p>
      <w:pPr>
        <w:pStyle w:val="FirstParagraph"/>
      </w:pPr>
      <w:r>
        <w:t xml:space="preserve">Pixelgrafiken verwenden ein festes Raster und eignen sich besonders für pixelbasierte Bilddaten wie Fotos. Vektorgrafiken beschreiben grafische Objekte und eignen sich besonders für skalierbare Formen, Symbole und Illustrationen.</w:t>
      </w:r>
    </w:p>
    <w:bookmarkEnd w:id="22"/>
    <w:bookmarkStart w:id="23" w:name="gestaltungsauftrag"/>
    <w:p>
      <w:pPr>
        <w:pStyle w:val="Heading2"/>
      </w:pPr>
      <w:r>
        <w:t xml:space="preserve">Gestaltungsauftrag</w:t>
      </w:r>
    </w:p>
    <w:p>
      <w:pPr>
        <w:pStyle w:val="FirstParagraph"/>
      </w:pPr>
      <w:r>
        <w:t xml:space="preserve">Die Begründung muss zum Produkt passen. Entscheidend ist nicht ein pauschal „besseres“ Format, sondern der Einsatzzweck.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v0.4.0-490-g2532335-dirty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2026-08-18T18:58:20Z</dcterms:created>
  <dcterms:modified xsi:type="dcterms:W3CDTF">2026-08-18T18:58:20Z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Loesungen</vt:lpwstr>
  </property>
  <property fmtid="{D5CDD505-2E9C-101B-9397-08002B2CF9AE}" pid="3" name="toc-title">
    <vt:lpwstr>Inhaltsverzeichnis</vt:lpwstr>
  </property>
</Properties>
</file>