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Klasse 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informatik-klasse-10"/>
    <w:p>
      <w:pPr>
        <w:pStyle w:val="Heading1"/>
      </w:pPr>
      <w:r>
        <w:t xml:space="preserve">Informatik – Klasse 10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entwickeln, vernetzen und schützen wir komplexe Informatiklösungen?</w:t>
      </w:r>
    </w:p>
    <w:p>
      <w:pPr>
        <w:pStyle w:val="FirstParagraph"/>
      </w:pPr>
      <w:r>
        <w:t xml:space="preserve">Die Materialien orientieren sich am sächsischen Lehrplan Informatik Oberschule 2022, der für Klassenstufe 10 seit dem 1. August 2025 gilt.</w:t>
      </w:r>
    </w:p>
    <w:bookmarkEnd w:id="20"/>
    <w:bookmarkStart w:id="21" w:name="verbindliche-lernbereiche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Komplexes Informatikprojekt – 11 Ustd.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webbasierte-anwendungen"/>
    <w:p>
      <w:pPr>
        <w:pStyle w:val="Heading3"/>
      </w:pPr>
      <w:r>
        <w:t xml:space="preserve">Lernbereich 1 – Webbasierte Anwendungen</w:t>
      </w:r>
    </w:p>
    <w:p>
      <w:pPr>
        <w:numPr>
          <w:ilvl w:val="0"/>
          <w:numId w:val="1002"/>
        </w:numPr>
        <w:pStyle w:val="Compact"/>
      </w:pPr>
      <w:r>
        <w:t xml:space="preserve">lokale und webbasierte Anwendungen vergleichen</w:t>
      </w:r>
    </w:p>
    <w:p>
      <w:pPr>
        <w:numPr>
          <w:ilvl w:val="0"/>
          <w:numId w:val="1002"/>
        </w:numPr>
        <w:pStyle w:val="Compact"/>
      </w:pPr>
      <w:r>
        <w:t xml:space="preserve">Client, Server und Netzwerkprotokolle wiederholen und anwenden</w:t>
      </w:r>
    </w:p>
    <w:p>
      <w:pPr>
        <w:numPr>
          <w:ilvl w:val="0"/>
          <w:numId w:val="1002"/>
        </w:numPr>
        <w:pStyle w:val="Compact"/>
      </w:pPr>
      <w:r>
        <w:t xml:space="preserve">einfache webbasierte Medien erstellen</w:t>
      </w:r>
    </w:p>
    <w:p>
      <w:pPr>
        <w:numPr>
          <w:ilvl w:val="0"/>
          <w:numId w:val="1002"/>
        </w:numPr>
        <w:pStyle w:val="Compact"/>
      </w:pPr>
      <w:r>
        <w:t xml:space="preserve">Klassen, Objekte, Attribute und Methoden in Webanwendungen erkennen</w:t>
      </w:r>
    </w:p>
    <w:p>
      <w:pPr>
        <w:numPr>
          <w:ilvl w:val="0"/>
          <w:numId w:val="1002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2"/>
        </w:numPr>
        <w:pStyle w:val="Compact"/>
      </w:pPr>
      <w:r>
        <w:t xml:space="preserve">Standortdaten, Cookies und soziale Netzwerke</w:t>
      </w:r>
    </w:p>
    <w:p>
      <w:pPr>
        <w:numPr>
          <w:ilvl w:val="0"/>
          <w:numId w:val="1002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2"/>
        </w:numPr>
        <w:pStyle w:val="Compact"/>
      </w:pPr>
      <w:r>
        <w:t xml:space="preserve">Cyberkriminalität und Datensicherheit</w:t>
      </w:r>
    </w:p>
    <w:p>
      <w:pPr>
        <w:numPr>
          <w:ilvl w:val="0"/>
          <w:numId w:val="1002"/>
        </w:numPr>
        <w:pStyle w:val="Compact"/>
      </w:pPr>
      <w:r>
        <w:t xml:space="preserve">Grundidee asymmetrischer Verschlüsselung mit öffentlichem und privatem Schlüssel</w:t>
      </w:r>
    </w:p>
    <w:bookmarkEnd w:id="22"/>
    <w:bookmarkStart w:id="23" w:name="Xcb7c5d4fb8d9fd5c89be158d1941e26a4f95d05"/>
    <w:p>
      <w:pPr>
        <w:pStyle w:val="Heading3"/>
      </w:pPr>
      <w:r>
        <w:t xml:space="preserve">Lernbereich 2 – Komplexes Informatikprojekt</w:t>
      </w:r>
    </w:p>
    <w:p>
      <w:pPr>
        <w:numPr>
          <w:ilvl w:val="0"/>
          <w:numId w:val="1003"/>
        </w:numPr>
        <w:pStyle w:val="Compact"/>
      </w:pPr>
      <w:r>
        <w:t xml:space="preserve">Problem analysieren</w:t>
      </w:r>
    </w:p>
    <w:p>
      <w:pPr>
        <w:numPr>
          <w:ilvl w:val="0"/>
          <w:numId w:val="1003"/>
        </w:numPr>
        <w:pStyle w:val="Compact"/>
      </w:pPr>
      <w:r>
        <w:t xml:space="preserve">Projektziel und Teilaufgaben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 zwischen Gruppen definieren</w:t>
      </w:r>
    </w:p>
    <w:p>
      <w:pPr>
        <w:numPr>
          <w:ilvl w:val="0"/>
          <w:numId w:val="1003"/>
        </w:numPr>
        <w:pStyle w:val="Compact"/>
      </w:pPr>
      <w:r>
        <w:t xml:space="preserve">kollaborativ arbeiten</w:t>
      </w:r>
    </w:p>
    <w:p>
      <w:pPr>
        <w:numPr>
          <w:ilvl w:val="0"/>
          <w:numId w:val="1003"/>
        </w:numPr>
        <w:pStyle w:val="Compact"/>
      </w:pPr>
      <w:r>
        <w:t xml:space="preserve">Einzelergebnisse integrieren</w:t>
      </w:r>
    </w:p>
    <w:p>
      <w:pPr>
        <w:numPr>
          <w:ilvl w:val="0"/>
          <w:numId w:val="1003"/>
        </w:numPr>
        <w:pStyle w:val="Compact"/>
      </w:pPr>
      <w:r>
        <w:t xml:space="preserve">Arbeitsstand kontinuierlich sichern</w:t>
      </w:r>
    </w:p>
    <w:p>
      <w:pPr>
        <w:numPr>
          <w:ilvl w:val="0"/>
          <w:numId w:val="1003"/>
        </w:numPr>
        <w:pStyle w:val="Compact"/>
      </w:pPr>
      <w:r>
        <w:t xml:space="preserve">Projektverlauf dokumentieren</w:t>
      </w:r>
    </w:p>
    <w:p>
      <w:pPr>
        <w:numPr>
          <w:ilvl w:val="0"/>
          <w:numId w:val="1003"/>
        </w:numPr>
        <w:pStyle w:val="Compact"/>
      </w:pPr>
      <w:r>
        <w:t xml:space="preserve">Ergebnis präsentieren und reflektieren</w:t>
      </w:r>
    </w:p>
    <w:bookmarkEnd w:id="23"/>
    <w:bookmarkEnd w:id="24"/>
    <w:bookmarkStart w:id="28" w:name="wahlbereiche"/>
    <w:p>
      <w:pPr>
        <w:pStyle w:val="Heading2"/>
      </w:pPr>
      <w:r>
        <w:t xml:space="preserve">Wahlbereiche</w:t>
      </w:r>
    </w:p>
    <w:bookmarkStart w:id="25" w:name="X1f3d8925ac3e148ad8bf337ce4e3a4ebd8c9845"/>
    <w:p>
      <w:pPr>
        <w:pStyle w:val="Heading3"/>
      </w:pPr>
      <w:r>
        <w:t xml:space="preserve">03 – Sicherheit in der Informationsverarbeitung</w:t>
      </w:r>
    </w:p>
    <w:p>
      <w:pPr>
        <w:pStyle w:val="FirstParagraph"/>
      </w:pPr>
      <w:r>
        <w:t xml:space="preserve">Digitaler Fußabdruck, Datensammlungen, Cookies/Tracking, Berechtigungen, Datensparsamkeit und Kontoschutz.</w:t>
      </w:r>
    </w:p>
    <w:bookmarkEnd w:id="25"/>
    <w:bookmarkStart w:id="26" w:name="mobile-endgeräte"/>
    <w:p>
      <w:pPr>
        <w:pStyle w:val="Heading3"/>
      </w:pPr>
      <w:r>
        <w:t xml:space="preserve">04 – Mobile Endgeräte</w:t>
      </w:r>
    </w:p>
    <w:p>
      <w:pPr>
        <w:pStyle w:val="FirstParagraph"/>
      </w:pPr>
      <w:r>
        <w:t xml:space="preserve">Mobile Bezahldienste: Beteiligte, Datenfluss, Authentisierung, Autorisierung, Schutzmechanismen, Verlustszenario und begründete Sicherheitsbewertung.</w:t>
      </w:r>
    </w:p>
    <w:bookmarkEnd w:id="26"/>
    <w:bookmarkStart w:id="27" w:name="computergrafik"/>
    <w:p>
      <w:pPr>
        <w:pStyle w:val="Heading3"/>
      </w:pPr>
      <w:r>
        <w:t xml:space="preserve">05 – Computergrafik</w:t>
      </w:r>
    </w:p>
    <w:p>
      <w:pPr>
        <w:pStyle w:val="FirstParagraph"/>
      </w:pPr>
      <w:r>
        <w:t xml:space="preserve">Historische Entwicklung, Auflösung, Farbtiefe, Bildrate, Rohdatenmengen, Rechenleistung, Speicher, Kompression und Streaming.</w:t>
      </w:r>
    </w:p>
    <w:bookmarkEnd w:id="27"/>
    <w:bookmarkEnd w:id="28"/>
    <w:bookmarkStart w:id="2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Wie in den anderen Klassenstufen werden schriftliche Leistungskontrollen für die verbindlichen Lernbereiche bereitgestellt. Projekt- und Übungsphasen können zusätzlich diagnostisch genutzt werden. Wahlbereiche benötigen nicht zwingend eigene schriftliche Lernkontrollen.</w:t>
      </w:r>
    </w:p>
    <w:bookmarkEnd w:id="29"/>
    <w:bookmarkStart w:id="30" w:name="werkteilstruktur"/>
    <w:p>
      <w:pPr>
        <w:pStyle w:val="Heading2"/>
      </w:pPr>
      <w:r>
        <w:t xml:space="preserve">Werkteilstruktur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01_Webbasierte_Anwendungen/</w:t>
      </w:r>
      <w:r>
        <w:br/>
      </w:r>
      <w:r>
        <w:rPr>
          <w:rStyle w:val="VerbatimChar"/>
        </w:rPr>
        <w:t xml:space="preserve">02_Komplexes_Informatikprojekt/</w:t>
      </w:r>
      <w:r>
        <w:br/>
      </w:r>
      <w:r>
        <w:rPr>
          <w:rStyle w:val="VerbatimChar"/>
        </w:rPr>
        <w:t xml:space="preserve">03_Wahlbereich_Sicherheit/</w:t>
      </w:r>
      <w:r>
        <w:br/>
      </w:r>
      <w:r>
        <w:rPr>
          <w:rStyle w:val="VerbatimChar"/>
        </w:rPr>
        <w:t xml:space="preserve">04_Wahlbereich_Mobile_Endgeraete/</w:t>
      </w:r>
      <w:r>
        <w:br/>
      </w:r>
      <w:r>
        <w:rPr>
          <w:rStyle w:val="VerbatimChar"/>
        </w:rPr>
        <w:t xml:space="preserve">05_Wahlbereich_Computergrafik/</w:t>
      </w:r>
    </w:p>
    <w:p>
      <w:pPr>
        <w:pStyle w:val="FirstParagraph"/>
      </w:pPr>
      <w:r>
        <w:t xml:space="preserve">Vollständig ausgearbeitete Unterrichtsbereiche verwenden je nach Bedarf: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    md/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Die Markdown-Quellen zu Präsentationen liegen einheitlich in</w:t>
      </w:r>
      <w:r>
        <w:t xml:space="preserve"> </w:t>
      </w:r>
      <w:r>
        <w:rPr>
          <w:rStyle w:val="VerbatimChar"/>
        </w:rPr>
        <w:t xml:space="preserve">05_Praesentationen/md/</w:t>
      </w:r>
      <w:r>
        <w:t xml:space="preserve">. Fertige PowerPoint-Dateien liegen direkt in</w:t>
      </w:r>
      <w:r>
        <w:t xml:space="preserve"> </w:t>
      </w:r>
      <w:r>
        <w:rPr>
          <w:rStyle w:val="VerbatimChar"/>
        </w:rPr>
        <w:t xml:space="preserve">05_Praesentationen/</w:t>
      </w:r>
      <w:r>
        <w:t xml:space="preserve">.</w:t>
      </w:r>
    </w:p>
    <w:p>
      <w:r>
        <w:br w:type="page"/>
      </w:r>
    </w:p>
    <w:bookmarkEnd w:id="30"/>
    <w:bookmarkEnd w:id="31"/>
    <w:bookmarkStart w:id="48" w:name="audit-klasse-10"/>
    <w:p>
      <w:pPr>
        <w:pStyle w:val="Heading1"/>
      </w:pPr>
      <w:r>
        <w:t xml:space="preserve">Audit – Klasse 10</w:t>
      </w:r>
    </w:p>
    <w:bookmarkStart w:id="32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2022, Klassenstufe 10, gültig seit 1. August 2025.</w:t>
      </w:r>
    </w:p>
    <w:bookmarkEnd w:id="32"/>
    <w:bookmarkStart w:id="33" w:name="verbindliche-lernbereiche-1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Komplexes Informatikprojekt – 11 Ustd.</w:t>
      </w:r>
    </w:p>
    <w:bookmarkEnd w:id="33"/>
    <w:bookmarkStart w:id="36" w:name="abgedeckte-pflichtinhalte"/>
    <w:p>
      <w:pPr>
        <w:pStyle w:val="Heading2"/>
      </w:pPr>
      <w:r>
        <w:t xml:space="preserve">Abgedeckte Pflichtinhalte</w:t>
      </w:r>
    </w:p>
    <w:bookmarkStart w:id="34" w:name="webbasierte-anwendungen"/>
    <w:p>
      <w:pPr>
        <w:pStyle w:val="Heading3"/>
      </w:pPr>
      <w:r>
        <w:t xml:space="preserve">01 – Webbasierte Anwendungen</w:t>
      </w:r>
    </w:p>
    <w:p>
      <w:pPr>
        <w:pStyle w:val="FirstParagraph"/>
      </w:pPr>
      <w:r>
        <w:t xml:space="preserve">Abgedeckt sind insbesondere:</w:t>
      </w:r>
    </w:p>
    <w:p>
      <w:pPr>
        <w:numPr>
          <w:ilvl w:val="0"/>
          <w:numId w:val="1005"/>
        </w:numPr>
        <w:pStyle w:val="Compact"/>
      </w:pPr>
      <w:r>
        <w:t xml:space="preserve">Webanwendung als Gesamtsystem statt reines Frontend</w:t>
      </w:r>
    </w:p>
    <w:p>
      <w:pPr>
        <w:numPr>
          <w:ilvl w:val="0"/>
          <w:numId w:val="1005"/>
        </w:numPr>
        <w:pStyle w:val="Compact"/>
      </w:pPr>
      <w:r>
        <w:t xml:space="preserve">Client/Server und 3-Tier-/3-Schicht-Architektur</w:t>
      </w:r>
    </w:p>
    <w:p>
      <w:pPr>
        <w:numPr>
          <w:ilvl w:val="0"/>
          <w:numId w:val="1005"/>
        </w:numPr>
        <w:pStyle w:val="Compact"/>
      </w:pPr>
      <w:r>
        <w:t xml:space="preserve">clientseitige Single Page Applications und serverseitiges Rendering</w:t>
      </w:r>
    </w:p>
    <w:p>
      <w:pPr>
        <w:numPr>
          <w:ilvl w:val="0"/>
          <w:numId w:val="1005"/>
        </w:numPr>
        <w:pStyle w:val="Compact"/>
      </w:pPr>
      <w:r>
        <w:t xml:space="preserve">HTTP-Anfrage/Antwort, Polling, Server-Sent Events und WebSocket</w:t>
      </w:r>
    </w:p>
    <w:p>
      <w:pPr>
        <w:numPr>
          <w:ilvl w:val="0"/>
          <w:numId w:val="1005"/>
        </w:numPr>
        <w:pStyle w:val="Compact"/>
      </w:pPr>
      <w:r>
        <w:t xml:space="preserve">HTML, Hypertext und Programmierschnittstellen</w:t>
      </w:r>
    </w:p>
    <w:p>
      <w:pPr>
        <w:numPr>
          <w:ilvl w:val="0"/>
          <w:numId w:val="1005"/>
        </w:numPr>
        <w:pStyle w:val="Compact"/>
      </w:pPr>
      <w:r>
        <w:t xml:space="preserve">Hosting, Rechenzentrum und Cloud</w:t>
      </w:r>
    </w:p>
    <w:p>
      <w:pPr>
        <w:numPr>
          <w:ilvl w:val="0"/>
          <w:numId w:val="1005"/>
        </w:numPr>
        <w:pStyle w:val="Compact"/>
      </w:pPr>
      <w:r>
        <w:t xml:space="preserve">Software as a Service, Platform as a Service und Infrastructure as a Service</w:t>
      </w:r>
    </w:p>
    <w:p>
      <w:pPr>
        <w:numPr>
          <w:ilvl w:val="0"/>
          <w:numId w:val="1005"/>
        </w:numPr>
        <w:pStyle w:val="Compact"/>
      </w:pPr>
      <w:r>
        <w:t xml:space="preserve">Shared Responsibility</w:t>
      </w:r>
    </w:p>
    <w:p>
      <w:pPr>
        <w:numPr>
          <w:ilvl w:val="0"/>
          <w:numId w:val="1005"/>
        </w:numPr>
        <w:pStyle w:val="Compact"/>
      </w:pPr>
      <w:r>
        <w:t xml:space="preserve">Authentisierung und Autorisierung</w:t>
      </w:r>
    </w:p>
    <w:p>
      <w:pPr>
        <w:numPr>
          <w:ilvl w:val="0"/>
          <w:numId w:val="1005"/>
        </w:numPr>
        <w:pStyle w:val="Compact"/>
      </w:pPr>
      <w:r>
        <w:t xml:space="preserve">Kontoschutz und Multi-Faktor-Authentisierung</w:t>
      </w:r>
    </w:p>
    <w:p>
      <w:pPr>
        <w:numPr>
          <w:ilvl w:val="0"/>
          <w:numId w:val="1005"/>
        </w:numPr>
        <w:pStyle w:val="Compact"/>
      </w:pPr>
      <w:r>
        <w:t xml:space="preserve">Phishing und Social Engineering</w:t>
      </w:r>
    </w:p>
    <w:p>
      <w:pPr>
        <w:numPr>
          <w:ilvl w:val="0"/>
          <w:numId w:val="1005"/>
        </w:numPr>
        <w:pStyle w:val="Compact"/>
      </w:pPr>
      <w:r>
        <w:t xml:space="preserve">IT-Security, Schutzziele, Angriffsfläche und Security by Design</w:t>
      </w:r>
    </w:p>
    <w:p>
      <w:pPr>
        <w:numPr>
          <w:ilvl w:val="0"/>
          <w:numId w:val="1005"/>
        </w:numPr>
        <w:pStyle w:val="Compact"/>
      </w:pPr>
      <w:r>
        <w:t xml:space="preserve">White Hat, Black Hat, Grey Hat und autorisiertes Penetration Testing</w:t>
      </w:r>
    </w:p>
    <w:p>
      <w:pPr>
        <w:numPr>
          <w:ilvl w:val="0"/>
          <w:numId w:val="1005"/>
        </w:numPr>
        <w:pStyle w:val="Compact"/>
      </w:pPr>
      <w:r>
        <w:t xml:space="preserve">Backup, Wiederherstellung und Datensicherheit</w:t>
      </w:r>
    </w:p>
    <w:p>
      <w:pPr>
        <w:numPr>
          <w:ilvl w:val="0"/>
          <w:numId w:val="1005"/>
        </w:numPr>
        <w:pStyle w:val="Compact"/>
      </w:pPr>
      <w:r>
        <w:t xml:space="preserve">Verschlüsselung bei Kommunikation und Speicherung</w:t>
      </w:r>
    </w:p>
    <w:p>
      <w:pPr>
        <w:numPr>
          <w:ilvl w:val="0"/>
          <w:numId w:val="1005"/>
        </w:numPr>
        <w:pStyle w:val="Compact"/>
      </w:pPr>
      <w:r>
        <w:t xml:space="preserve">Datenschutz, personenbezogene Daten und regulatorischer Kontext</w:t>
      </w:r>
    </w:p>
    <w:p>
      <w:pPr>
        <w:numPr>
          <w:ilvl w:val="0"/>
          <w:numId w:val="1005"/>
        </w:numPr>
        <w:pStyle w:val="Compact"/>
      </w:pPr>
      <w:r>
        <w:t xml:space="preserve">Künstliche Intelligenz und die Pflicht zur Prüfung KI-generierter Ergebnisse bzw. Codes</w:t>
      </w:r>
    </w:p>
    <w:p>
      <w:pPr>
        <w:pStyle w:val="FirstParagraph"/>
      </w:pPr>
      <w:r>
        <w:t xml:space="preserve">Die Darstellung verwendet ein Schülerfestival als durchgängiges Anwendungsbeispiel und trennt bewusst Architektur, Bereitstellung, Kommunikation, Sicherheit und Datenschutz.</w:t>
      </w:r>
    </w:p>
    <w:bookmarkEnd w:id="34"/>
    <w:bookmarkStart w:id="35" w:name="komplexes-informatikprojekt"/>
    <w:p>
      <w:pPr>
        <w:pStyle w:val="Heading3"/>
      </w:pPr>
      <w:r>
        <w:t xml:space="preserve">02 – Komplexes Informatikprojekt</w:t>
      </w:r>
    </w:p>
    <w:p>
      <w:pPr>
        <w:pStyle w:val="FirstParagraph"/>
      </w:pPr>
      <w:r>
        <w:t xml:space="preserve">Abgedeckt sind insbesondere:</w:t>
      </w:r>
    </w:p>
    <w:p>
      <w:pPr>
        <w:numPr>
          <w:ilvl w:val="0"/>
          <w:numId w:val="1006"/>
        </w:numPr>
        <w:pStyle w:val="Compact"/>
      </w:pPr>
      <w:r>
        <w:t xml:space="preserve">komplexe Problemstellung mit informatischen Werkzeugen</w:t>
      </w:r>
    </w:p>
    <w:p>
      <w:pPr>
        <w:numPr>
          <w:ilvl w:val="0"/>
          <w:numId w:val="1006"/>
        </w:numPr>
        <w:pStyle w:val="Compact"/>
      </w:pPr>
      <w:r>
        <w:t xml:space="preserve">Analyse, Zieldefinition, Anforderungen und Projektumfang</w:t>
      </w:r>
    </w:p>
    <w:p>
      <w:pPr>
        <w:numPr>
          <w:ilvl w:val="0"/>
          <w:numId w:val="1006"/>
        </w:numPr>
        <w:pStyle w:val="Compact"/>
      </w:pPr>
      <w:r>
        <w:t xml:space="preserve">Zerlegung in Teilprojekte</w:t>
      </w:r>
    </w:p>
    <w:p>
      <w:pPr>
        <w:numPr>
          <w:ilvl w:val="0"/>
          <w:numId w:val="1006"/>
        </w:numPr>
        <w:pStyle w:val="Compact"/>
      </w:pPr>
      <w:r>
        <w:t xml:space="preserve">Rollen und Verantwortlichkeiten</w:t>
      </w:r>
    </w:p>
    <w:p>
      <w:pPr>
        <w:numPr>
          <w:ilvl w:val="0"/>
          <w:numId w:val="1006"/>
        </w:numPr>
        <w:pStyle w:val="Compact"/>
      </w:pPr>
      <w:r>
        <w:t xml:space="preserve">Schnittstellen und Übergaben zwischen Arbeitsgruppen</w:t>
      </w:r>
    </w:p>
    <w:p>
      <w:pPr>
        <w:numPr>
          <w:ilvl w:val="0"/>
          <w:numId w:val="1006"/>
        </w:numPr>
        <w:pStyle w:val="Compact"/>
      </w:pPr>
      <w:r>
        <w:t xml:space="preserve">einheitliche Vorlagen und gemeinsame Datenablage</w:t>
      </w:r>
    </w:p>
    <w:p>
      <w:pPr>
        <w:numPr>
          <w:ilvl w:val="0"/>
          <w:numId w:val="1006"/>
        </w:numPr>
        <w:pStyle w:val="Compact"/>
      </w:pPr>
      <w:r>
        <w:t xml:space="preserve">Mini-Projektmanagement</w:t>
      </w:r>
    </w:p>
    <w:p>
      <w:pPr>
        <w:numPr>
          <w:ilvl w:val="0"/>
          <w:numId w:val="1006"/>
        </w:numPr>
        <w:pStyle w:val="Compact"/>
      </w:pPr>
      <w:r>
        <w:t xml:space="preserve">Gantt-Diagramm, Abhängigkeiten, Meilensteine und Puffer</w:t>
      </w:r>
    </w:p>
    <w:p>
      <w:pPr>
        <w:numPr>
          <w:ilvl w:val="0"/>
          <w:numId w:val="1006"/>
        </w:numPr>
        <w:pStyle w:val="Compact"/>
      </w:pPr>
      <w:r>
        <w:t xml:space="preserve">Kanban als ergänzendes Arbeitsboard</w:t>
      </w:r>
    </w:p>
    <w:p>
      <w:pPr>
        <w:numPr>
          <w:ilvl w:val="0"/>
          <w:numId w:val="1006"/>
        </w:numPr>
        <w:pStyle w:val="Compact"/>
      </w:pPr>
      <w:r>
        <w:t xml:space="preserve">Risikomanagement</w:t>
      </w:r>
    </w:p>
    <w:p>
      <w:pPr>
        <w:numPr>
          <w:ilvl w:val="0"/>
          <w:numId w:val="1006"/>
        </w:numPr>
        <w:pStyle w:val="Compact"/>
      </w:pPr>
      <w:r>
        <w:t xml:space="preserve">laufende Reviews von Zwischen- und Endergebnissen</w:t>
      </w:r>
    </w:p>
    <w:p>
      <w:pPr>
        <w:numPr>
          <w:ilvl w:val="0"/>
          <w:numId w:val="1006"/>
        </w:numPr>
        <w:pStyle w:val="Compact"/>
      </w:pPr>
      <w:r>
        <w:t xml:space="preserve">Lehrerreview und klare Freigabeverantwortung</w:t>
      </w:r>
    </w:p>
    <w:p>
      <w:pPr>
        <w:numPr>
          <w:ilvl w:val="0"/>
          <w:numId w:val="1006"/>
        </w:numPr>
        <w:pStyle w:val="Compact"/>
      </w:pPr>
      <w:r>
        <w:t xml:space="preserve">Qualitätssicherung und Vier-Augen-Prinzip</w:t>
      </w:r>
    </w:p>
    <w:p>
      <w:pPr>
        <w:numPr>
          <w:ilvl w:val="0"/>
          <w:numId w:val="1006"/>
        </w:numPr>
        <w:pStyle w:val="Compact"/>
      </w:pPr>
      <w:r>
        <w:t xml:space="preserve">Versionierung, Backup und Datenlebenszyklus</w:t>
      </w:r>
    </w:p>
    <w:p>
      <w:pPr>
        <w:numPr>
          <w:ilvl w:val="0"/>
          <w:numId w:val="1006"/>
        </w:numPr>
        <w:pStyle w:val="Compact"/>
      </w:pPr>
      <w:r>
        <w:t xml:space="preserve">Datenschutz, Persönlichkeitsrechte, Urheberrecht und Nutzungsrechte</w:t>
      </w:r>
    </w:p>
    <w:p>
      <w:pPr>
        <w:numPr>
          <w:ilvl w:val="0"/>
          <w:numId w:val="1006"/>
        </w:numPr>
        <w:pStyle w:val="Compact"/>
      </w:pPr>
      <w:r>
        <w:t xml:space="preserve">verantwortlicher Einsatz Künstlicher Intelligenz</w:t>
      </w:r>
    </w:p>
    <w:p>
      <w:pPr>
        <w:numPr>
          <w:ilvl w:val="0"/>
          <w:numId w:val="1006"/>
        </w:numPr>
        <w:pStyle w:val="Compact"/>
      </w:pPr>
      <w:r>
        <w:t xml:space="preserve">technische Produktion und Veröffentlichung</w:t>
      </w:r>
    </w:p>
    <w:p>
      <w:pPr>
        <w:numPr>
          <w:ilvl w:val="0"/>
          <w:numId w:val="1006"/>
        </w:numPr>
        <w:pStyle w:val="Compact"/>
      </w:pPr>
      <w:r>
        <w:t xml:space="preserve">Dokumentation, Präsentation und Retrospektive</w:t>
      </w:r>
    </w:p>
    <w:p>
      <w:pPr>
        <w:pStyle w:val="FirstParagraph"/>
      </w:pPr>
      <w:r>
        <w:t xml:space="preserve">Die</w:t>
      </w:r>
      <w:r>
        <w:t xml:space="preserve"> </w:t>
      </w:r>
      <w:r>
        <w:rPr>
          <w:bCs/>
          <w:b/>
        </w:rPr>
        <w:t xml:space="preserve">Abschlusszeitung</w:t>
      </w:r>
      <w:r>
        <w:t xml:space="preserve"> </w:t>
      </w:r>
      <w:r>
        <w:t xml:space="preserve">dient als lebensnahes Leitprojekt. Alternativ kann ein anderes ausreichend komplexes schulisches Informatikprojekt eingesetzt werden.</w:t>
      </w:r>
    </w:p>
    <w:p>
      <w:pPr>
        <w:pStyle w:val="BodyText"/>
      </w:pPr>
      <w:r>
        <w:t xml:space="preserve">Für die Abschlusszeitung stehen ergänzende Projektvorlagen zur Verfügung, darunter Projektauftrag, Beitrags- und Interviewvorlagen, Gantt-Vorlage und Gantt-Beispiel, Review-Vorlage sowie Projekttagebuch.</w:t>
      </w:r>
    </w:p>
    <w:bookmarkEnd w:id="35"/>
    <w:bookmarkEnd w:id="36"/>
    <w:bookmarkStart w:id="40" w:name="wahlbereiche-1"/>
    <w:p>
      <w:pPr>
        <w:pStyle w:val="Heading2"/>
      </w:pPr>
      <w:r>
        <w:t xml:space="preserve">Wahlbereiche</w:t>
      </w:r>
    </w:p>
    <w:bookmarkStart w:id="37" w:name="Xf48347d72e344cd562b5bb47feb6c1ae82281a6"/>
    <w:p>
      <w:pPr>
        <w:pStyle w:val="Heading3"/>
      </w:pPr>
      <w:r>
        <w:t xml:space="preserve">03 – Sicherheit in der Informationsverarbeitung</w:t>
      </w:r>
    </w:p>
    <w:p>
      <w:pPr>
        <w:pStyle w:val="FirstParagraph"/>
      </w:pPr>
      <w:r>
        <w:t xml:space="preserve">Ausgearbeitet mit:</w:t>
      </w:r>
    </w:p>
    <w:p>
      <w:pPr>
        <w:numPr>
          <w:ilvl w:val="0"/>
          <w:numId w:val="1007"/>
        </w:numPr>
        <w:pStyle w:val="Compact"/>
      </w:pPr>
      <w:r>
        <w:t xml:space="preserve">digitalem Fußabdruck</w:t>
      </w:r>
    </w:p>
    <w:p>
      <w:pPr>
        <w:numPr>
          <w:ilvl w:val="0"/>
          <w:numId w:val="1007"/>
        </w:numPr>
        <w:pStyle w:val="Compact"/>
      </w:pPr>
      <w:r>
        <w:t xml:space="preserve">bewusst angegebenen, automatisch erzeugten und abgeleiteten Daten</w:t>
      </w:r>
    </w:p>
    <w:p>
      <w:pPr>
        <w:numPr>
          <w:ilvl w:val="0"/>
          <w:numId w:val="1007"/>
        </w:numPr>
        <w:pStyle w:val="Compact"/>
      </w:pPr>
      <w:r>
        <w:t xml:space="preserve">Metadaten</w:t>
      </w:r>
    </w:p>
    <w:p>
      <w:pPr>
        <w:numPr>
          <w:ilvl w:val="0"/>
          <w:numId w:val="1007"/>
        </w:numPr>
        <w:pStyle w:val="Compact"/>
      </w:pPr>
      <w:r>
        <w:t xml:space="preserve">Datenaggregation und Profilbildung</w:t>
      </w:r>
    </w:p>
    <w:p>
      <w:pPr>
        <w:numPr>
          <w:ilvl w:val="0"/>
          <w:numId w:val="1007"/>
        </w:numPr>
        <w:pStyle w:val="Compact"/>
      </w:pPr>
      <w:r>
        <w:t xml:space="preserve">Tracking, Cookies, Tracking-Pixel und Browser-Fingerprinting</w:t>
      </w:r>
    </w:p>
    <w:p>
      <w:pPr>
        <w:numPr>
          <w:ilvl w:val="0"/>
          <w:numId w:val="1007"/>
        </w:numPr>
        <w:pStyle w:val="Compact"/>
      </w:pPr>
      <w:r>
        <w:t xml:space="preserve">App-Berechtigungen</w:t>
      </w:r>
    </w:p>
    <w:p>
      <w:pPr>
        <w:numPr>
          <w:ilvl w:val="0"/>
          <w:numId w:val="1007"/>
        </w:numPr>
        <w:pStyle w:val="Compact"/>
      </w:pPr>
      <w:r>
        <w:t xml:space="preserve">Datenminimierung, Zweckbindung und Transparenz</w:t>
      </w:r>
    </w:p>
    <w:p>
      <w:pPr>
        <w:numPr>
          <w:ilvl w:val="0"/>
          <w:numId w:val="1007"/>
        </w:numPr>
        <w:pStyle w:val="Compact"/>
      </w:pPr>
      <w:r>
        <w:t xml:space="preserve">Komfort-versus-Datenschutz-Abwägungen</w:t>
      </w:r>
    </w:p>
    <w:p>
      <w:pPr>
        <w:numPr>
          <w:ilvl w:val="0"/>
          <w:numId w:val="1007"/>
        </w:numPr>
        <w:pStyle w:val="Compact"/>
      </w:pPr>
      <w:r>
        <w:t xml:space="preserve">KI-basierter Datenauswertung und möglichen Fehlklassifikationen</w:t>
      </w:r>
    </w:p>
    <w:p>
      <w:pPr>
        <w:numPr>
          <w:ilvl w:val="0"/>
          <w:numId w:val="1007"/>
        </w:numPr>
        <w:pStyle w:val="Compact"/>
      </w:pPr>
      <w:r>
        <w:t xml:space="preserve">Kontoschutz, Passwortmanager und Multi-Faktor-Authentisierung</w:t>
      </w:r>
    </w:p>
    <w:p>
      <w:pPr>
        <w:numPr>
          <w:ilvl w:val="0"/>
          <w:numId w:val="1007"/>
        </w:numPr>
        <w:pStyle w:val="Compact"/>
      </w:pPr>
      <w:r>
        <w:t xml:space="preserve">Credential Stuffing</w:t>
      </w:r>
    </w:p>
    <w:p>
      <w:pPr>
        <w:numPr>
          <w:ilvl w:val="0"/>
          <w:numId w:val="1007"/>
        </w:numPr>
        <w:pStyle w:val="Compact"/>
      </w:pPr>
      <w:r>
        <w:t xml:space="preserve">persönlichen Maßnahmenplänen und Fallbeispielen</w:t>
      </w:r>
    </w:p>
    <w:p>
      <w:pPr>
        <w:pStyle w:val="FirstParagraph"/>
      </w:pPr>
      <w:r>
        <w:t xml:space="preserve">Der Wahlbereich ergänzt den Security-Block aus Lernbereich 01 und fokussiert bewusst Datenspuren, Profilbildung, Datenschutz und persönliche Kontrolle.</w:t>
      </w:r>
    </w:p>
    <w:bookmarkEnd w:id="37"/>
    <w:bookmarkStart w:id="38" w:name="mobile-endgeräte-1"/>
    <w:p>
      <w:pPr>
        <w:pStyle w:val="Heading3"/>
      </w:pPr>
      <w:r>
        <w:t xml:space="preserve">04 – Mobile Endgeräte</w:t>
      </w:r>
    </w:p>
    <w:p>
      <w:pPr>
        <w:pStyle w:val="FirstParagraph"/>
      </w:pPr>
      <w:r>
        <w:t xml:space="preserve">Ausgearbeitet mit:</w:t>
      </w:r>
    </w:p>
    <w:p>
      <w:pPr>
        <w:numPr>
          <w:ilvl w:val="0"/>
          <w:numId w:val="1008"/>
        </w:numPr>
        <w:pStyle w:val="Compact"/>
      </w:pPr>
      <w:r>
        <w:t xml:space="preserve">mobilen Endgeräten als vollständigen Computersystemen</w:t>
      </w:r>
    </w:p>
    <w:p>
      <w:pPr>
        <w:numPr>
          <w:ilvl w:val="0"/>
          <w:numId w:val="1008"/>
        </w:numPr>
        <w:pStyle w:val="Compact"/>
      </w:pPr>
      <w:r>
        <w:t xml:space="preserve">System-on-a-Chip, Arbeitsspeicher, Flash-Speicher und spezialisierten Recheneinheiten</w:t>
      </w:r>
    </w:p>
    <w:p>
      <w:pPr>
        <w:numPr>
          <w:ilvl w:val="0"/>
          <w:numId w:val="1008"/>
        </w:numPr>
        <w:pStyle w:val="Compact"/>
      </w:pPr>
      <w:r>
        <w:t xml:space="preserve">Sensoren und satellitengestützter Positionsbestimmung</w:t>
      </w:r>
    </w:p>
    <w:p>
      <w:pPr>
        <w:numPr>
          <w:ilvl w:val="0"/>
          <w:numId w:val="1008"/>
        </w:numPr>
        <w:pStyle w:val="Compact"/>
      </w:pPr>
      <w:r>
        <w:t xml:space="preserve">Mobilfunk, Wireless Local Area Network, Bluetooth und Near Field Communication</w:t>
      </w:r>
    </w:p>
    <w:p>
      <w:pPr>
        <w:numPr>
          <w:ilvl w:val="0"/>
          <w:numId w:val="1008"/>
        </w:numPr>
        <w:pStyle w:val="Compact"/>
      </w:pPr>
      <w:r>
        <w:t xml:space="preserve">Betriebssystem, Programmierschnittstellen, Sandbox und Berechtigungen</w:t>
      </w:r>
    </w:p>
    <w:p>
      <w:pPr>
        <w:numPr>
          <w:ilvl w:val="0"/>
          <w:numId w:val="1008"/>
        </w:numPr>
        <w:pStyle w:val="Compact"/>
      </w:pPr>
      <w:r>
        <w:t xml:space="preserve">Softwareupdates und Installationsquellen</w:t>
      </w:r>
    </w:p>
    <w:p>
      <w:pPr>
        <w:numPr>
          <w:ilvl w:val="0"/>
          <w:numId w:val="1008"/>
        </w:numPr>
        <w:pStyle w:val="Compact"/>
      </w:pPr>
      <w:r>
        <w:t xml:space="preserve">Cloud-Synchronisation und Abgrenzung zum Backup</w:t>
      </w:r>
    </w:p>
    <w:p>
      <w:pPr>
        <w:numPr>
          <w:ilvl w:val="0"/>
          <w:numId w:val="1008"/>
        </w:numPr>
        <w:pStyle w:val="Compact"/>
      </w:pPr>
      <w:r>
        <w:t xml:space="preserve">mobilem Bezahlen als Leitbeispiel</w:t>
      </w:r>
    </w:p>
    <w:p>
      <w:pPr>
        <w:numPr>
          <w:ilvl w:val="0"/>
          <w:numId w:val="1008"/>
        </w:numPr>
        <w:pStyle w:val="Compact"/>
      </w:pPr>
      <w:r>
        <w:t xml:space="preserve">Authentisierung und Autorisierung</w:t>
      </w:r>
    </w:p>
    <w:p>
      <w:pPr>
        <w:numPr>
          <w:ilvl w:val="0"/>
          <w:numId w:val="1008"/>
        </w:numPr>
        <w:pStyle w:val="Compact"/>
      </w:pPr>
      <w:r>
        <w:t xml:space="preserve">Biometrie und Tokenisierung</w:t>
      </w:r>
    </w:p>
    <w:p>
      <w:pPr>
        <w:numPr>
          <w:ilvl w:val="0"/>
          <w:numId w:val="1008"/>
        </w:numPr>
        <w:pStyle w:val="Compact"/>
      </w:pPr>
      <w:r>
        <w:t xml:space="preserve">mehrschichtigen Schutzmechanismen</w:t>
      </w:r>
    </w:p>
    <w:p>
      <w:pPr>
        <w:numPr>
          <w:ilvl w:val="0"/>
          <w:numId w:val="1008"/>
        </w:numPr>
        <w:pStyle w:val="Compact"/>
      </w:pPr>
      <w:r>
        <w:t xml:space="preserve">Verlustszenario und priorisierten Gegenmaßnahmen</w:t>
      </w:r>
    </w:p>
    <w:p>
      <w:pPr>
        <w:numPr>
          <w:ilvl w:val="0"/>
          <w:numId w:val="1008"/>
        </w:numPr>
        <w:pStyle w:val="Compact"/>
      </w:pPr>
      <w:r>
        <w:t xml:space="preserve">Energieverbrauch und Lithium-Ionen-Akkus</w:t>
      </w:r>
    </w:p>
    <w:p>
      <w:pPr>
        <w:numPr>
          <w:ilvl w:val="0"/>
          <w:numId w:val="1008"/>
        </w:numPr>
        <w:pStyle w:val="Compact"/>
      </w:pPr>
      <w:r>
        <w:t xml:space="preserve">Komfort, Datenschutz und technische Abhängigkeiten</w:t>
      </w:r>
    </w:p>
    <w:bookmarkEnd w:id="38"/>
    <w:bookmarkStart w:id="39" w:name="computergrafik-1"/>
    <w:p>
      <w:pPr>
        <w:pStyle w:val="Heading3"/>
      </w:pPr>
      <w:r>
        <w:t xml:space="preserve">05 – Computergrafik</w:t>
      </w:r>
    </w:p>
    <w:p>
      <w:pPr>
        <w:pStyle w:val="FirstParagraph"/>
      </w:pPr>
      <w:r>
        <w:t xml:space="preserve">Ausgearbeitet mit:</w:t>
      </w:r>
    </w:p>
    <w:p>
      <w:pPr>
        <w:numPr>
          <w:ilvl w:val="0"/>
          <w:numId w:val="1009"/>
        </w:numPr>
        <w:pStyle w:val="Compact"/>
      </w:pPr>
      <w:r>
        <w:t xml:space="preserve">Raster- und Vektorgrafik</w:t>
      </w:r>
    </w:p>
    <w:p>
      <w:pPr>
        <w:numPr>
          <w:ilvl w:val="0"/>
          <w:numId w:val="1009"/>
        </w:numPr>
        <w:pStyle w:val="Compact"/>
      </w:pPr>
      <w:r>
        <w:t xml:space="preserve">Dateiformaten wie JPEG, PNG und Scalable Vector Graphics</w:t>
      </w:r>
    </w:p>
    <w:p>
      <w:pPr>
        <w:numPr>
          <w:ilvl w:val="0"/>
          <w:numId w:val="1009"/>
        </w:numPr>
        <w:pStyle w:val="Compact"/>
      </w:pPr>
      <w:r>
        <w:t xml:space="preserve">Pixeln, Auflösung und Seitenverhältnis</w:t>
      </w:r>
    </w:p>
    <w:p>
      <w:pPr>
        <w:numPr>
          <w:ilvl w:val="0"/>
          <w:numId w:val="1009"/>
        </w:numPr>
        <w:pStyle w:val="Compact"/>
      </w:pPr>
      <w:r>
        <w:t xml:space="preserve">HD, Full HD, Quad HD, Ultra HD/4K und 8K</w:t>
      </w:r>
    </w:p>
    <w:p>
      <w:pPr>
        <w:numPr>
          <w:ilvl w:val="0"/>
          <w:numId w:val="1009"/>
        </w:numPr>
        <w:pStyle w:val="Compact"/>
      </w:pPr>
      <w:r>
        <w:t xml:space="preserve">menschlicher Wahrnehmung, Betrachtungsabstand und Pixeldichte</w:t>
      </w:r>
    </w:p>
    <w:p>
      <w:pPr>
        <w:numPr>
          <w:ilvl w:val="0"/>
          <w:numId w:val="1009"/>
        </w:numPr>
        <w:pStyle w:val="Compact"/>
      </w:pPr>
      <w:r>
        <w:t xml:space="preserve">Pixels per Inch und Dots per Inch sowie Bezug zum Ausdruck</w:t>
      </w:r>
    </w:p>
    <w:p>
      <w:pPr>
        <w:numPr>
          <w:ilvl w:val="0"/>
          <w:numId w:val="1009"/>
        </w:numPr>
        <w:pStyle w:val="Compact"/>
      </w:pPr>
      <w:r>
        <w:t xml:space="preserve">Farbtiefe und den Farbmodellen RGB und CMYK</w:t>
      </w:r>
    </w:p>
    <w:p>
      <w:pPr>
        <w:numPr>
          <w:ilvl w:val="0"/>
          <w:numId w:val="1009"/>
        </w:numPr>
        <w:pStyle w:val="Compact"/>
      </w:pPr>
      <w:r>
        <w:t xml:space="preserve">unkomprimierten Rohdatenmengen</w:t>
      </w:r>
    </w:p>
    <w:p>
      <w:pPr>
        <w:numPr>
          <w:ilvl w:val="0"/>
          <w:numId w:val="1009"/>
        </w:numPr>
        <w:pStyle w:val="Compact"/>
      </w:pPr>
      <w:r>
        <w:t xml:space="preserve">verlustfreier und verlustbehafteter Kompression</w:t>
      </w:r>
    </w:p>
    <w:p>
      <w:pPr>
        <w:numPr>
          <w:ilvl w:val="0"/>
          <w:numId w:val="1009"/>
        </w:numPr>
        <w:pStyle w:val="Compact"/>
      </w:pPr>
      <w:r>
        <w:t xml:space="preserve">Transparenz/Alpha-Kanal und Ebenen</w:t>
      </w:r>
    </w:p>
    <w:p>
      <w:pPr>
        <w:numPr>
          <w:ilvl w:val="0"/>
          <w:numId w:val="1009"/>
        </w:numPr>
        <w:pStyle w:val="Compact"/>
      </w:pPr>
      <w:r>
        <w:t xml:space="preserve">Grundlagen dreidimensionaler Computergrafik, Polygone und Rendering</w:t>
      </w:r>
    </w:p>
    <w:p>
      <w:pPr>
        <w:numPr>
          <w:ilvl w:val="0"/>
          <w:numId w:val="1009"/>
        </w:numPr>
        <w:pStyle w:val="Compact"/>
      </w:pPr>
      <w:r>
        <w:t xml:space="preserve">Central Processing Unit, Graphics Processing Unit, Random Access Memory und Video Random Access Memory</w:t>
      </w:r>
    </w:p>
    <w:p>
      <w:pPr>
        <w:numPr>
          <w:ilvl w:val="0"/>
          <w:numId w:val="1009"/>
        </w:numPr>
        <w:pStyle w:val="Compact"/>
      </w:pPr>
      <w:r>
        <w:t xml:space="preserve">Frames per Second, Framezeiten und Latenz</w:t>
      </w:r>
    </w:p>
    <w:p>
      <w:pPr>
        <w:numPr>
          <w:ilvl w:val="0"/>
          <w:numId w:val="1009"/>
        </w:numPr>
        <w:pStyle w:val="Compact"/>
      </w:pPr>
      <w:r>
        <w:t xml:space="preserve">Flaschenhälsen bei Echtzeitgrafik</w:t>
      </w:r>
    </w:p>
    <w:p>
      <w:pPr>
        <w:numPr>
          <w:ilvl w:val="0"/>
          <w:numId w:val="1009"/>
        </w:numPr>
        <w:pStyle w:val="Compact"/>
      </w:pPr>
      <w:r>
        <w:t xml:space="preserve">Grafik-Streaming und Cloud-Gaming</w:t>
      </w:r>
    </w:p>
    <w:p>
      <w:pPr>
        <w:numPr>
          <w:ilvl w:val="0"/>
          <w:numId w:val="1009"/>
        </w:numPr>
        <w:pStyle w:val="Compact"/>
      </w:pPr>
      <w:r>
        <w:t xml:space="preserve">Bandbreite versus Latenz</w:t>
      </w:r>
    </w:p>
    <w:p>
      <w:pPr>
        <w:numPr>
          <w:ilvl w:val="0"/>
          <w:numId w:val="1009"/>
        </w:numPr>
        <w:pStyle w:val="Compact"/>
      </w:pPr>
      <w:r>
        <w:t xml:space="preserve">KI-generierten bzw. KI-veränderten Bildern</w:t>
      </w:r>
    </w:p>
    <w:p>
      <w:pPr>
        <w:numPr>
          <w:ilvl w:val="0"/>
          <w:numId w:val="1009"/>
        </w:numPr>
        <w:pStyle w:val="Compact"/>
      </w:pPr>
      <w:r>
        <w:t xml:space="preserve">kritischer Bewertung digitaler Bildquellen</w:t>
      </w:r>
    </w:p>
    <w:p>
      <w:pPr>
        <w:pStyle w:val="FirstParagraph"/>
      </w:pPr>
      <w:r>
        <w:t xml:space="preserve">Berechnungen zu Bilddaten werden ausdrücklich als Modellrechnungen für unkomprimierte Daten gekennzeichnet.</w:t>
      </w:r>
    </w:p>
    <w:bookmarkEnd w:id="39"/>
    <w:bookmarkEnd w:id="40"/>
    <w:bookmarkStart w:id="42" w:name="Xa6074a96eecc1e6ea22b7877acf40c4d294d893"/>
    <w:p>
      <w:pPr>
        <w:pStyle w:val="Heading2"/>
      </w:pPr>
      <w:r>
        <w:t xml:space="preserve">Didaktische und terminologische Konventionen</w:t>
      </w:r>
    </w:p>
    <w:p>
      <w:pPr>
        <w:pStyle w:val="FirstParagraph"/>
      </w:pPr>
      <w:r>
        <w:t xml:space="preserve">Klassenweit gelten folgende Qualitätsregeln für die Präsentationsquellen:</w:t>
      </w:r>
    </w:p>
    <w:p>
      <w:pPr>
        <w:numPr>
          <w:ilvl w:val="0"/>
          <w:numId w:val="1010"/>
        </w:numPr>
        <w:pStyle w:val="Compact"/>
      </w:pPr>
      <w:r>
        <w:t xml:space="preserve">Neue Fachbegriffe werden beim ersten didaktisch relevanten Auftreten erklärt.</w:t>
      </w:r>
    </w:p>
    <w:p>
      <w:pPr>
        <w:numPr>
          <w:ilvl w:val="0"/>
          <w:numId w:val="1010"/>
        </w:numPr>
        <w:pStyle w:val="Compact"/>
      </w:pPr>
      <w:r>
        <w:t xml:space="preserve">Abkürzungen werden nach Möglichkeit zuerst ausgeschrieben und anschließend in Klammern angegeben.</w:t>
      </w:r>
    </w:p>
    <w:p>
      <w:pPr>
        <w:numPr>
          <w:ilvl w:val="0"/>
          <w:numId w:val="1010"/>
        </w:numPr>
        <w:pStyle w:val="Compact"/>
      </w:pPr>
      <w:r>
        <w:t xml:space="preserve">Lehrerhinweise liefern Hintergrundwissen, typische Fehlvorstellungen und Grenzen vereinfachter Modelle.</w:t>
      </w:r>
    </w:p>
    <w:p>
      <w:pPr>
        <w:numPr>
          <w:ilvl w:val="0"/>
          <w:numId w:val="1010"/>
        </w:numPr>
        <w:pStyle w:val="Compact"/>
      </w:pPr>
      <w:r>
        <w:t xml:space="preserve">Mehrere erklärungsbedürftige Begriffe werden in Lehrerhinweisen möglichst durch eigene Absätze getrennt.</w:t>
      </w:r>
    </w:p>
    <w:p>
      <w:pPr>
        <w:numPr>
          <w:ilvl w:val="0"/>
          <w:numId w:val="1010"/>
        </w:numPr>
        <w:pStyle w:val="Compact"/>
      </w:pPr>
      <w:r>
        <w:t xml:space="preserve">Schülerwissen und fachliche Vertiefung werden unterschieden.</w:t>
      </w:r>
    </w:p>
    <w:p>
      <w:pPr>
        <w:numPr>
          <w:ilvl w:val="0"/>
          <w:numId w:val="1010"/>
        </w:numPr>
        <w:pStyle w:val="Compact"/>
      </w:pPr>
      <w:r>
        <w:t xml:space="preserve">Produkt- und Werkzeugnamen bleiben austauschbare Beispiele.</w:t>
      </w:r>
    </w:p>
    <w:p>
      <w:pPr>
        <w:numPr>
          <w:ilvl w:val="0"/>
          <w:numId w:val="1010"/>
        </w:numPr>
        <w:pStyle w:val="Compact"/>
      </w:pPr>
      <w:r>
        <w:t xml:space="preserve">Sicherheitsinhalte werden defensiv, verantwortungsorientiert und nur im Rahmen autorisierter Nutzung vermittelt.</w:t>
      </w:r>
    </w:p>
    <w:p>
      <w:pPr>
        <w:numPr>
          <w:ilvl w:val="0"/>
          <w:numId w:val="1010"/>
        </w:numPr>
        <w:pStyle w:val="Compact"/>
      </w:pPr>
      <w:r>
        <w:t xml:space="preserve">KI-generierte Inhalte, Aussagen und Codes werden nicht ungeprüft übernommen.</w:t>
      </w:r>
    </w:p>
    <w:bookmarkStart w:id="41" w:name="terminologie"/>
    <w:p>
      <w:pPr>
        <w:pStyle w:val="Heading3"/>
      </w:pPr>
      <w:r>
        <w:t xml:space="preserve">Terminologie</w:t>
      </w:r>
    </w:p>
    <w:p>
      <w:pPr>
        <w:pStyle w:val="FirstParagraph"/>
      </w:pPr>
      <w:r>
        <w:t xml:space="preserve">Für neue bzw. überarbeitete Materialien wird bevorzugt</w:t>
      </w:r>
      <w:r>
        <w:t xml:space="preserve"> </w:t>
      </w:r>
      <w:r>
        <w:rPr>
          <w:bCs/>
          <w:b/>
        </w:rPr>
        <w:t xml:space="preserve">Authentisierung</w:t>
      </w:r>
      <w:r>
        <w:t xml:space="preserve"> </w:t>
      </w:r>
      <w:r>
        <w:t xml:space="preserve">für den Nachweis einer Identität oder Berechtigung verwendet und</w:t>
      </w:r>
      <w:r>
        <w:t xml:space="preserve"> </w:t>
      </w:r>
      <w:r>
        <w:rPr>
          <w:bCs/>
          <w:b/>
        </w:rPr>
        <w:t xml:space="preserve">Autorisierung</w:t>
      </w:r>
      <w:r>
        <w:t xml:space="preserve"> </w:t>
      </w:r>
      <w:r>
        <w:t xml:space="preserve">für die Entscheidung über zulässige Aktionen. Der im allgemeinen Sprachgebrauch ebenfalls verbreitete Begriff</w:t>
      </w:r>
      <w:r>
        <w:t xml:space="preserve"> </w:t>
      </w:r>
      <w:r>
        <w:rPr>
          <w:bCs/>
          <w:b/>
        </w:rPr>
        <w:t xml:space="preserve">Authentifizierung</w:t>
      </w:r>
      <w:r>
        <w:t xml:space="preserve"> </w:t>
      </w:r>
      <w:r>
        <w:t xml:space="preserve">kann in älteren Materialien oder Präsentationen vorkommen und ist kein inhaltlicher Widerspruch.</w:t>
      </w:r>
    </w:p>
    <w:p>
      <w:pPr>
        <w:pStyle w:val="BodyText"/>
      </w:pPr>
      <w:r>
        <w:t xml:space="preserve">Bereits finalisierte PowerPoint-Dateien werden für rein terminologische Vereinheitlichungen nicht erneut verändert, sofern daraus kein fachlicher Fehler entsteht.</w:t>
      </w:r>
    </w:p>
    <w:bookmarkEnd w:id="41"/>
    <w:bookmarkEnd w:id="42"/>
    <w:bookmarkStart w:id="43" w:name="Xe25caf6663effd143b8e65147d28433ed80345a"/>
    <w:p>
      <w:pPr>
        <w:pStyle w:val="Heading2"/>
      </w:pPr>
      <w:r>
        <w:t xml:space="preserve">Querverweise und sinnvolle Wiederaufnahme</w:t>
      </w:r>
    </w:p>
    <w:p>
      <w:pPr>
        <w:pStyle w:val="FirstParagraph"/>
      </w:pPr>
      <w:r>
        <w:t xml:space="preserve">Themen werden zwischen den Bereichen bewusst wieder aufgenommen, aber aus unterschiedlicher Perspektive:</w:t>
      </w:r>
    </w:p>
    <w:p>
      <w:pPr>
        <w:numPr>
          <w:ilvl w:val="0"/>
          <w:numId w:val="1011"/>
        </w:numPr>
        <w:pStyle w:val="Compact"/>
      </w:pPr>
      <w:r>
        <w:t xml:space="preserve">Datenschutz und Rechte aus 03 werden im Projekt 02 praktisch angewendet.</w:t>
      </w:r>
    </w:p>
    <w:p>
      <w:pPr>
        <w:numPr>
          <w:ilvl w:val="0"/>
          <w:numId w:val="1011"/>
        </w:numPr>
        <w:pStyle w:val="Compact"/>
      </w:pPr>
      <w:r>
        <w:t xml:space="preserve">App-Berechtigungen werden in 03 aus Datenschutzsicht und in 04 aus Betriebssystem-/Techniksicht behandelt.</w:t>
      </w:r>
    </w:p>
    <w:p>
      <w:pPr>
        <w:numPr>
          <w:ilvl w:val="0"/>
          <w:numId w:val="1011"/>
        </w:numPr>
        <w:pStyle w:val="Compact"/>
      </w:pPr>
      <w:r>
        <w:t xml:space="preserve">Backup und Cloud aus 01 werden in 04 auf mobile Geräte übertragen.</w:t>
      </w:r>
    </w:p>
    <w:p>
      <w:pPr>
        <w:numPr>
          <w:ilvl w:val="0"/>
          <w:numId w:val="1011"/>
        </w:numPr>
        <w:pStyle w:val="Compact"/>
      </w:pPr>
      <w:r>
        <w:t xml:space="preserve">RGB/CMYK sowie Bildauflösung aus 02 werden in 05 technisch vertieft.</w:t>
      </w:r>
    </w:p>
    <w:p>
      <w:pPr>
        <w:numPr>
          <w:ilvl w:val="0"/>
          <w:numId w:val="1011"/>
        </w:numPr>
        <w:pStyle w:val="Compact"/>
      </w:pPr>
      <w:r>
        <w:t xml:space="preserve">KI erscheint in mehreren Bereichen jeweils mit passendem Kontext: Softwareentwicklung, Datenschutz, Projektarbeit und Computergrafik.</w:t>
      </w:r>
    </w:p>
    <w:p>
      <w:pPr>
        <w:pStyle w:val="FirstParagraph"/>
      </w:pPr>
      <w:r>
        <w:t xml:space="preserve">Diese Überschneidungen sind didaktisch gewollte Wiederaufnahme und keine inhaltliche Doppelung ohne Mehrwert.</w:t>
      </w:r>
    </w:p>
    <w:bookmarkEnd w:id="43"/>
    <w:bookmarkStart w:id="44" w:name="strukturprüfung"/>
    <w:p>
      <w:pPr>
        <w:pStyle w:val="Heading2"/>
      </w:pPr>
      <w:r>
        <w:t xml:space="preserve">Strukturprüfung</w:t>
      </w:r>
    </w:p>
    <w:p>
      <w:pPr>
        <w:pStyle w:val="FirstParagraph"/>
      </w:pPr>
      <w:r>
        <w:t xml:space="preserve">Für alle fünf Unterrichtsbereiche sind Arbeitsheft bzw. Lernaufgaben, Lehrerhinweise, Material, Lösungen und Präsentationsquellen vorhanden. Quellenhinweise sind vorhanden. Die Präsentations-Markdowns liegen unter</w:t>
      </w:r>
      <w:r>
        <w:t xml:space="preserve"> </w:t>
      </w:r>
      <w:r>
        <w:rPr>
          <w:rStyle w:val="VerbatimChar"/>
        </w:rPr>
        <w:t xml:space="preserve">05_Praesentationen/md/</w:t>
      </w:r>
      <w:r>
        <w:t xml:space="preserve">; fertige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werden direkt in</w:t>
      </w:r>
      <w:r>
        <w:t xml:space="preserve"> </w:t>
      </w:r>
      <w:r>
        <w:rPr>
          <w:rStyle w:val="VerbatimChar"/>
        </w:rPr>
        <w:t xml:space="preserve">05_Praesentationen/</w:t>
      </w:r>
      <w:r>
        <w:t xml:space="preserve"> </w:t>
      </w:r>
      <w:r>
        <w:t xml:space="preserve">abgelegt.</w:t>
      </w:r>
    </w:p>
    <w:p>
      <w:pPr>
        <w:pStyle w:val="BodyText"/>
      </w:pPr>
      <w:r>
        <w:t xml:space="preserve">Die Pflichtbereiche 01 und 02 enthalten zusätzlich schriftliche Lernkontrollen. Für Wahlbereiche sind eigene Lernkontrollen optional und nicht Voraussetzung für strukturelle Vollständigkeit.</w:t>
      </w:r>
    </w:p>
    <w:p>
      <w:pPr>
        <w:pStyle w:val="BodyText"/>
      </w:pPr>
      <w:r>
        <w:t xml:space="preserve">Die PowerPoint-Dateien für 01 bis 05 wurden erstellt und im Arbeitsbranch abgelegt. Nachträgliche rein redaktionelle Vereinheitlichungen der Markdown-Quellen erfordern keine Neuerstellung bereits geprüfter PowerPoints.</w:t>
      </w:r>
    </w:p>
    <w:bookmarkEnd w:id="44"/>
    <w:bookmarkStart w:id="45" w:name="noch-offen-vor-abschluss-klasse-10"/>
    <w:p>
      <w:pPr>
        <w:pStyle w:val="Heading2"/>
      </w:pPr>
      <w:r>
        <w:t xml:space="preserve">Noch offen vor Abschluss Klasse 10</w:t>
      </w:r>
    </w:p>
    <w:p>
      <w:pPr>
        <w:numPr>
          <w:ilvl w:val="0"/>
          <w:numId w:val="1012"/>
        </w:numPr>
        <w:pStyle w:val="Compact"/>
      </w:pPr>
      <w:r>
        <w:t xml:space="preserve">vollständigen Build des Branches bzw. nach dem Merge prüfen</w:t>
      </w:r>
    </w:p>
    <w:p>
      <w:pPr>
        <w:numPr>
          <w:ilvl w:val="0"/>
          <w:numId w:val="1012"/>
        </w:numPr>
        <w:pStyle w:val="Compact"/>
      </w:pPr>
      <w:r>
        <w:t xml:space="preserve">abschließende Dateinamen- und Linkprüfung im generierten Build durchführen</w:t>
      </w:r>
    </w:p>
    <w:p>
      <w:pPr>
        <w:numPr>
          <w:ilvl w:val="0"/>
          <w:numId w:val="1012"/>
        </w:numPr>
        <w:pStyle w:val="Compact"/>
      </w:pPr>
      <w:r>
        <w:t xml:space="preserve">nach erfolgreichem Build den Branch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mergen bzw. den Merge abschließen</w:t>
      </w:r>
    </w:p>
    <w:bookmarkEnd w:id="45"/>
    <w:bookmarkStart w:id="46" w:name="leistungsbewertung-1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Vier schriftliche Leistungskontrollen stellen zwei planbare schriftliche Noten pro Halbjahr bereit. Sie sind thematisch den verbindlichen Lerninhalten zugeordnet.</w:t>
      </w:r>
    </w:p>
    <w:p>
      <w:pPr>
        <w:pStyle w:val="BodyText"/>
      </w:pPr>
      <w:r>
        <w:t xml:space="preserve">Das komplexe Informatikprojekt kann zusätzlich prozess- und produktorientiert bewertet werden. Dabei sollten Gruppenleistung und individuelle Verantwortungsübernahme nachvollziehbar voneinander unterschieden werden.</w:t>
      </w:r>
    </w:p>
    <w:bookmarkEnd w:id="46"/>
    <w:bookmarkStart w:id="47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rPr>
          <w:bCs/>
          <w:b/>
        </w:rPr>
        <w:t xml:space="preserve">Klasse 10 ist fachlich und strukturell vollständig ausgearbeitet.</w:t>
      </w:r>
    </w:p>
    <w:p>
      <w:pPr>
        <w:pStyle w:val="BodyText"/>
      </w:pPr>
      <w:r>
        <w:t xml:space="preserve">Die fünf Bereiche 01 bis 05 besitzen Präsentationsquellen und fertige PowerPoint-Dateien. Die Pflichtbereiche decken die Lehrplananforderungen ab; die Wahlbereiche wurden fachlich erweitert und mit Lehrerhinweisen ergänzt.</w:t>
      </w:r>
    </w:p>
    <w:p>
      <w:pPr>
        <w:pStyle w:val="BodyText"/>
      </w:pPr>
      <w:r>
        <w:t xml:space="preserve">Vor dem endgültigen Abschluss bleibt nur noch die technische Gesamtprüfung des Builds sowie die abschließende Prüfung der generierten Links und Dateinamen.</w:t>
      </w:r>
    </w:p>
    <w:bookmarkEnd w:id="47"/>
    <w:bookmarkEnd w:id="4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2026-08-20T06:28:48Z</dcterms:created>
  <dcterms:modified xsi:type="dcterms:W3CDTF">2026-08-20T06:28:48Z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Klasse 10</vt:lpwstr>
  </property>
  <property fmtid="{D5CDD505-2E9C-101B-9397-08002B2CF9AE}" pid="3" name="toc-title">
    <vt:lpwstr>Inhaltsverzeichnis</vt:lpwstr>
  </property>
</Properties>
</file>