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Mobile Endgeraete</w:t>
      </w:r>
    </w:p>
    <w:p>
      <w:pPr>
        <w:pStyle w:val="Subtitle"/>
      </w:pPr>
      <w:r>
        <w:t xml:space="preserve">Informatik · Klasse 10 · Loesungen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4" w:name="lösungen-mobiles-bezahlen"/>
    <w:p>
      <w:pPr>
        <w:pStyle w:val="Heading1"/>
      </w:pPr>
      <w:r>
        <w:t xml:space="preserve">Lösungen – Mobiles Bezahlen</w:t>
      </w:r>
    </w:p>
    <w:bookmarkStart w:id="20" w:name="beteiligte"/>
    <w:p>
      <w:pPr>
        <w:pStyle w:val="Heading2"/>
      </w:pPr>
      <w:r>
        <w:t xml:space="preserve">Beteiligte</w:t>
      </w:r>
    </w:p>
    <w:p>
      <w:pPr>
        <w:pStyle w:val="FirstParagraph"/>
      </w:pPr>
      <w:r>
        <w:t xml:space="preserve">Typischer Ablauf: Kunde initiiert Zahlung am Gerät → Händlerterminal fordert Transaktion an → Zahlungsdienst verarbeitet bzw. vermittelt → Bank/Kartenanbieter autorisiert oder lehnt ab → Ergebnis wird zurückgemeldet.</w:t>
      </w:r>
    </w:p>
    <w:bookmarkEnd w:id="20"/>
    <w:bookmarkStart w:id="21" w:name="authentisierung-autorisierung"/>
    <w:p>
      <w:pPr>
        <w:pStyle w:val="Heading2"/>
      </w:pPr>
      <w:r>
        <w:t xml:space="preserve">Authentisierung / Autorisierung</w:t>
      </w:r>
    </w:p>
    <w:p>
      <w:pPr>
        <w:pStyle w:val="FirstParagraph"/>
      </w:pPr>
      <w:r>
        <w:rPr>
          <w:bCs/>
          <w:b/>
        </w:rPr>
        <w:t xml:space="preserve">Authentisierung:</w:t>
      </w:r>
      <w:r>
        <w:t xml:space="preserve"> </w:t>
      </w:r>
      <w:r>
        <w:t xml:space="preserve">Nachweis, dass die zugreifende Person bzw. das Gerät berechtigt ist, z. B. PIN oder biometrische Entsperrung.</w:t>
      </w:r>
    </w:p>
    <w:p>
      <w:pPr>
        <w:pStyle w:val="BodyText"/>
      </w:pPr>
      <w:r>
        <w:rPr>
          <w:bCs/>
          <w:b/>
        </w:rPr>
        <w:t xml:space="preserve">Autorisierung:</w:t>
      </w:r>
      <w:r>
        <w:t xml:space="preserve"> </w:t>
      </w:r>
      <w:r>
        <w:t xml:space="preserve">Freigabe einer konkreten Zahlung nach Regeln, Limits und Prüfungen.</w:t>
      </w:r>
    </w:p>
    <w:bookmarkEnd w:id="21"/>
    <w:bookmarkStart w:id="22" w:name="risikoanalyse-mögliche-punkte"/>
    <w:p>
      <w:pPr>
        <w:pStyle w:val="Heading2"/>
      </w:pPr>
      <w:r>
        <w:t xml:space="preserve">Risikoanalyse – mögliche Punkte</w:t>
      </w:r>
    </w:p>
    <w:p>
      <w:pPr>
        <w:numPr>
          <w:ilvl w:val="0"/>
          <w:numId w:val="1001"/>
        </w:numPr>
        <w:pStyle w:val="Compact"/>
      </w:pPr>
      <w:r>
        <w:t xml:space="preserve">Gerätesperre reduziert unmittelbaren Zugriff.</w:t>
      </w:r>
    </w:p>
    <w:p>
      <w:pPr>
        <w:numPr>
          <w:ilvl w:val="0"/>
          <w:numId w:val="1001"/>
        </w:numPr>
        <w:pStyle w:val="Compact"/>
      </w:pPr>
      <w:r>
        <w:t xml:space="preserve">Zahlungsfunktion kann zusätzliche Freigaben verlangen.</w:t>
      </w:r>
    </w:p>
    <w:p>
      <w:pPr>
        <w:numPr>
          <w:ilvl w:val="0"/>
          <w:numId w:val="1001"/>
        </w:numPr>
        <w:pStyle w:val="Compact"/>
      </w:pPr>
      <w:r>
        <w:t xml:space="preserve">Zahlungsmittel bzw. Kontozugang bei Verlust sperren lassen.</w:t>
      </w:r>
    </w:p>
    <w:p>
      <w:pPr>
        <w:numPr>
          <w:ilvl w:val="0"/>
          <w:numId w:val="1001"/>
        </w:numPr>
        <w:pStyle w:val="Compact"/>
      </w:pPr>
      <w:r>
        <w:t xml:space="preserve">Konto- und Transaktionsübersicht kontrollieren.</w:t>
      </w:r>
    </w:p>
    <w:p>
      <w:pPr>
        <w:numPr>
          <w:ilvl w:val="0"/>
          <w:numId w:val="1001"/>
        </w:numPr>
        <w:pStyle w:val="Compact"/>
      </w:pPr>
      <w:r>
        <w:t xml:space="preserve">Zugangsdaten ändern, wenn ein Kompromittierungsverdacht besteht.</w:t>
      </w:r>
    </w:p>
    <w:bookmarkEnd w:id="22"/>
    <w:bookmarkStart w:id="23" w:name="bewertung"/>
    <w:p>
      <w:pPr>
        <w:pStyle w:val="Heading2"/>
      </w:pPr>
      <w:r>
        <w:t xml:space="preserve">Bewertung</w:t>
      </w:r>
    </w:p>
    <w:p>
      <w:pPr>
        <w:pStyle w:val="FirstParagraph"/>
      </w:pPr>
      <w:r>
        <w:t xml:space="preserve">Eine tragfähige Antwort vermeidet ein pauschales „sicher/unsicher“. Sie nennt Bedingungen wie Geräteschutz, Authentisierung, Sperrmöglichkeiten, Verhalten und konkrete Nutzungssituation und vergleicht diese mit den Risiken von Bargeld.</w:t>
      </w:r>
    </w:p>
    <w:bookmarkEnd w:id="23"/>
    <w:bookmarkEnd w:id="24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v0.4.0-534-gc09a6c6-dirty · Build 20.08.2026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Mobile Endgeraete</dc:title>
  <dc:creator/>
  <dc:language>de-DE</dc:language>
  <cp:keywords/>
  <dcterms:created xsi:type="dcterms:W3CDTF">2026-08-20T06:30:03Z</dcterms:created>
  <dcterms:modified xsi:type="dcterms:W3CDTF">2026-08-20T06:30:03Z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10 · Loesungen</vt:lpwstr>
  </property>
  <property fmtid="{D5CDD505-2E9C-101B-9397-08002B2CF9AE}" pid="3" name="toc-title">
    <vt:lpwstr>Inhaltsverzeichnis</vt:lpwstr>
  </property>
</Properties>
</file>