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mobile-endgeräte"/>
    <w:p>
      <w:pPr>
        <w:pStyle w:val="Heading1"/>
      </w:pPr>
      <w:r>
        <w:t xml:space="preserve">Quellenhinweise – Mobile Endgeräte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BSI zu mobilen Geräten, Updates, Berechtigungen und Informationssicherheit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eingesetzten Betriebssysteme, sofern konkrete Funktionen beschrieben werden</w:t>
      </w:r>
    </w:p>
    <w:p>
      <w:pPr>
        <w:pStyle w:val="FirstParagraph"/>
      </w:pPr>
      <w:r>
        <w:t xml:space="preserve">Produktnamen nur verwenden, wenn sie für eine Aufgabe erforderlich sind. Schnell veränderliche Angaben mit Versionsstand und Abrufdatum dokumentieren.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2026-08-20T06:25:42Z</dcterms:created>
  <dcterms:modified xsi:type="dcterms:W3CDTF">2026-08-20T06:25:42Z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