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computergrafik"/>
    <w:p>
      <w:pPr>
        <w:pStyle w:val="Heading1"/>
      </w:pPr>
      <w:r>
        <w:t xml:space="preserve">Lehrerhinweise – Computergrafik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Programmierkenntnisse werden auf Vektorgrafiken übertragen; Muster und Ornamente bilden das Produkt.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Grundform als Objekt → Attribute sichern → wiederholte Zeichenfolge → Schleife → Attributänderung je Wiederholung → eigenes Ornament.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 Lernenden sollen erkennen, dass nicht jede Form einzeln programmiert wird: Eine Grundform bzw. ein Unterprogramm wird wiederverwendet; Schleifen steuern die Wiederholung und Attribute erzeugen Variation.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Quadrat/regelmäßiges Muster. Erweiterung: verschachtelte Schleifen oder systematische Änderung von Drehung, Größe und Position.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2026-08-20T06:27:14Z</dcterms:created>
  <dcterms:modified xsi:type="dcterms:W3CDTF">2026-08-20T06:27:14Z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